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7C950" w14:textId="77777777" w:rsidR="00C01C1A" w:rsidRPr="003859B8" w:rsidRDefault="00C01C1A" w:rsidP="007D5CA2">
      <w:pPr>
        <w:ind w:left="2160" w:firstLine="720"/>
        <w:rPr>
          <w:rFonts w:ascii="Arial" w:hAnsi="Arial" w:cs="Arial"/>
          <w:b/>
          <w:sz w:val="28"/>
          <w:szCs w:val="28"/>
          <w:vertAlign w:val="superscript"/>
        </w:rPr>
      </w:pPr>
      <w:r w:rsidRPr="003859B8">
        <w:rPr>
          <w:rFonts w:ascii="Arial" w:hAnsi="Arial" w:cs="Arial"/>
          <w:b/>
          <w:sz w:val="26"/>
          <w:szCs w:val="26"/>
        </w:rPr>
        <w:t>Proje Finansmanı İstatistikleri</w:t>
      </w:r>
      <w:r w:rsidRPr="003859B8">
        <w:rPr>
          <w:rStyle w:val="FootnoteReference"/>
          <w:rFonts w:ascii="Arial" w:hAnsi="Arial" w:cs="Arial"/>
          <w:b/>
          <w:sz w:val="28"/>
          <w:szCs w:val="28"/>
        </w:rPr>
        <w:footnoteReference w:id="1"/>
      </w:r>
    </w:p>
    <w:p w14:paraId="38D30304" w14:textId="77777777" w:rsidR="00C01C1A" w:rsidRPr="003859B8" w:rsidRDefault="00125403" w:rsidP="00C01C1A">
      <w:pPr>
        <w:pStyle w:val="Title"/>
        <w:rPr>
          <w:rFonts w:ascii="Arial" w:hAnsi="Arial" w:cs="Arial"/>
          <w:bCs/>
          <w:szCs w:val="24"/>
        </w:rPr>
      </w:pPr>
      <w:r w:rsidRPr="003859B8">
        <w:rPr>
          <w:rFonts w:ascii="Arial" w:hAnsi="Arial" w:cs="Arial"/>
          <w:bCs/>
          <w:szCs w:val="24"/>
        </w:rPr>
        <w:t>Aralık</w:t>
      </w:r>
      <w:r w:rsidR="003E6E70" w:rsidRPr="003859B8">
        <w:rPr>
          <w:rFonts w:ascii="Arial" w:hAnsi="Arial" w:cs="Arial"/>
          <w:bCs/>
          <w:szCs w:val="24"/>
        </w:rPr>
        <w:t xml:space="preserve"> 202</w:t>
      </w:r>
      <w:r w:rsidR="00356C63" w:rsidRPr="003859B8">
        <w:rPr>
          <w:rFonts w:ascii="Arial" w:hAnsi="Arial" w:cs="Arial"/>
          <w:bCs/>
          <w:szCs w:val="24"/>
        </w:rPr>
        <w:t>4</w:t>
      </w:r>
    </w:p>
    <w:p w14:paraId="12277B29" w14:textId="77777777" w:rsidR="00C01C1A" w:rsidRPr="003859B8" w:rsidRDefault="00C01C1A" w:rsidP="00C01C1A">
      <w:pPr>
        <w:pStyle w:val="BodyText"/>
        <w:rPr>
          <w:rFonts w:ascii="Arial" w:hAnsi="Arial" w:cs="Arial"/>
          <w:sz w:val="16"/>
          <w:szCs w:val="16"/>
        </w:rPr>
      </w:pPr>
    </w:p>
    <w:p w14:paraId="0FAC8B0C" w14:textId="77777777" w:rsidR="00C01C1A" w:rsidRPr="003859B8" w:rsidRDefault="00C01C1A" w:rsidP="00C01C1A">
      <w:pPr>
        <w:pStyle w:val="BodyText"/>
        <w:rPr>
          <w:rFonts w:ascii="Arial" w:hAnsi="Arial" w:cs="Arial"/>
          <w:sz w:val="16"/>
          <w:szCs w:val="16"/>
        </w:rPr>
      </w:pPr>
    </w:p>
    <w:p w14:paraId="695EF2D8" w14:textId="77777777" w:rsidR="00C01C1A" w:rsidRPr="003859B8" w:rsidRDefault="00C01C1A" w:rsidP="00C01C1A">
      <w:pPr>
        <w:jc w:val="both"/>
        <w:rPr>
          <w:rFonts w:ascii="Arial" w:hAnsi="Arial" w:cs="Arial"/>
          <w:sz w:val="22"/>
          <w:szCs w:val="22"/>
        </w:rPr>
      </w:pPr>
      <w:r w:rsidRPr="003859B8">
        <w:rPr>
          <w:rFonts w:ascii="Arial" w:hAnsi="Arial" w:cs="Arial"/>
          <w:sz w:val="22"/>
          <w:szCs w:val="22"/>
        </w:rPr>
        <w:t xml:space="preserve">Mevduat bankaları ile kalkınma ve yatırım bankalarının proje finansmanı istatistiki bilgilerini içeren bu rapor, Aralık 2014 tarihinden itibaren altı aylık dönemlerde hazırlanmaktadır. </w:t>
      </w:r>
      <w:r w:rsidR="00125403" w:rsidRPr="003859B8">
        <w:rPr>
          <w:rFonts w:ascii="Arial" w:hAnsi="Arial" w:cs="Arial"/>
          <w:sz w:val="22"/>
          <w:szCs w:val="22"/>
        </w:rPr>
        <w:t>Aralık</w:t>
      </w:r>
      <w:r w:rsidR="008C4B10" w:rsidRPr="003859B8">
        <w:rPr>
          <w:rFonts w:ascii="Arial" w:hAnsi="Arial" w:cs="Arial"/>
          <w:sz w:val="22"/>
          <w:szCs w:val="22"/>
        </w:rPr>
        <w:t xml:space="preserve"> </w:t>
      </w:r>
      <w:r w:rsidR="003E6E70" w:rsidRPr="003859B8">
        <w:rPr>
          <w:rFonts w:ascii="Arial" w:hAnsi="Arial" w:cs="Arial"/>
          <w:sz w:val="22"/>
          <w:szCs w:val="22"/>
        </w:rPr>
        <w:t>202</w:t>
      </w:r>
      <w:r w:rsidR="00356C63" w:rsidRPr="003859B8">
        <w:rPr>
          <w:rFonts w:ascii="Arial" w:hAnsi="Arial" w:cs="Arial"/>
          <w:sz w:val="22"/>
          <w:szCs w:val="22"/>
        </w:rPr>
        <w:t>4</w:t>
      </w:r>
      <w:r w:rsidRPr="003859B8">
        <w:rPr>
          <w:rFonts w:ascii="Arial" w:hAnsi="Arial" w:cs="Arial"/>
          <w:sz w:val="22"/>
          <w:szCs w:val="22"/>
        </w:rPr>
        <w:t xml:space="preserve"> dönemi itibariyle 1</w:t>
      </w:r>
      <w:r w:rsidR="003E6E70" w:rsidRPr="003859B8">
        <w:rPr>
          <w:rFonts w:ascii="Arial" w:hAnsi="Arial" w:cs="Arial"/>
          <w:sz w:val="22"/>
          <w:szCs w:val="22"/>
        </w:rPr>
        <w:t>8</w:t>
      </w:r>
      <w:r w:rsidRPr="003859B8">
        <w:rPr>
          <w:rFonts w:ascii="Arial" w:hAnsi="Arial" w:cs="Arial"/>
          <w:sz w:val="22"/>
          <w:szCs w:val="22"/>
        </w:rPr>
        <w:t xml:space="preserve"> banka verisinden oluşmaktadır. </w:t>
      </w:r>
    </w:p>
    <w:p w14:paraId="7A973E1A" w14:textId="77777777" w:rsidR="00C01C1A" w:rsidRPr="003859B8" w:rsidRDefault="00C01C1A">
      <w:pPr>
        <w:rPr>
          <w:rFonts w:ascii="Arial" w:hAnsi="Arial" w:cs="Arial"/>
          <w:b/>
          <w:sz w:val="22"/>
          <w:szCs w:val="22"/>
        </w:rPr>
      </w:pPr>
    </w:p>
    <w:p w14:paraId="17367265" w14:textId="77777777" w:rsidR="00C01C1A" w:rsidRPr="003859B8" w:rsidRDefault="00C01C1A" w:rsidP="00C01C1A">
      <w:pPr>
        <w:jc w:val="center"/>
        <w:rPr>
          <w:rFonts w:ascii="Arial" w:hAnsi="Arial" w:cs="Arial"/>
          <w:b/>
          <w:szCs w:val="24"/>
        </w:rPr>
      </w:pPr>
      <w:r w:rsidRPr="003859B8">
        <w:rPr>
          <w:rFonts w:ascii="Arial" w:hAnsi="Arial" w:cs="Arial"/>
          <w:b/>
          <w:szCs w:val="24"/>
        </w:rPr>
        <w:t>Proje Finansmanı Kredileri</w:t>
      </w:r>
      <w:r w:rsidR="00FF294C" w:rsidRPr="003859B8">
        <w:rPr>
          <w:rFonts w:ascii="Arial" w:hAnsi="Arial" w:cs="Arial"/>
          <w:b/>
          <w:szCs w:val="24"/>
        </w:rPr>
        <w:t xml:space="preserve"> (Risk B</w:t>
      </w:r>
      <w:r w:rsidR="008C4B10" w:rsidRPr="003859B8">
        <w:rPr>
          <w:rFonts w:ascii="Arial" w:hAnsi="Arial" w:cs="Arial"/>
          <w:b/>
          <w:szCs w:val="24"/>
        </w:rPr>
        <w:t>akiye</w:t>
      </w:r>
      <w:r w:rsidR="00FF294C" w:rsidRPr="003859B8">
        <w:rPr>
          <w:rFonts w:ascii="Arial" w:hAnsi="Arial" w:cs="Arial"/>
          <w:b/>
          <w:szCs w:val="24"/>
        </w:rPr>
        <w:t>si</w:t>
      </w:r>
      <w:r w:rsidR="008C4B10" w:rsidRPr="003859B8">
        <w:rPr>
          <w:rFonts w:ascii="Arial" w:hAnsi="Arial" w:cs="Arial"/>
          <w:b/>
          <w:szCs w:val="24"/>
        </w:rPr>
        <w:t>)</w:t>
      </w:r>
    </w:p>
    <w:p w14:paraId="1ECF456A" w14:textId="77777777" w:rsidR="00A65AEB" w:rsidRDefault="00A65AEB" w:rsidP="00C01C1A">
      <w:pPr>
        <w:jc w:val="center"/>
        <w:rPr>
          <w:rFonts w:ascii="Arial" w:hAnsi="Arial" w:cs="Arial"/>
          <w:b/>
          <w:szCs w:val="24"/>
        </w:rPr>
      </w:pPr>
    </w:p>
    <w:p w14:paraId="10A6BA3E" w14:textId="77777777" w:rsidR="00C01C1A" w:rsidRPr="005F3050" w:rsidRDefault="00125403" w:rsidP="005F3050">
      <w:pPr>
        <w:jc w:val="center"/>
        <w:rPr>
          <w:rFonts w:ascii="Arial" w:hAnsi="Arial" w:cs="Arial"/>
          <w:b/>
          <w:szCs w:val="24"/>
        </w:rPr>
      </w:pPr>
      <w:r>
        <w:rPr>
          <w:noProof/>
          <w:lang w:eastAsia="tr-TR"/>
        </w:rPr>
        <w:drawing>
          <wp:inline distT="0" distB="0" distL="0" distR="0" wp14:anchorId="5A439F0B" wp14:editId="6F394B00">
            <wp:extent cx="4572000" cy="2647950"/>
            <wp:effectExtent l="0" t="0" r="0" b="0"/>
            <wp:docPr id="179521909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743A1FB" w14:textId="77777777" w:rsidR="00C01C1A" w:rsidRPr="003859B8" w:rsidRDefault="00C01C1A" w:rsidP="00C03D46">
      <w:pPr>
        <w:jc w:val="both"/>
        <w:rPr>
          <w:rFonts w:ascii="Arial" w:hAnsi="Arial" w:cs="Arial"/>
          <w:sz w:val="22"/>
          <w:szCs w:val="22"/>
        </w:rPr>
      </w:pPr>
      <w:r w:rsidRPr="003859B8">
        <w:rPr>
          <w:rFonts w:ascii="Arial" w:hAnsi="Arial" w:cs="Arial"/>
          <w:sz w:val="22"/>
          <w:szCs w:val="22"/>
        </w:rPr>
        <w:t xml:space="preserve">Proje finansmanı kredileri risk bakiyesi </w:t>
      </w:r>
      <w:r w:rsidR="001F7A18" w:rsidRPr="003859B8">
        <w:rPr>
          <w:rFonts w:ascii="Arial" w:hAnsi="Arial" w:cs="Arial"/>
          <w:sz w:val="22"/>
          <w:szCs w:val="22"/>
        </w:rPr>
        <w:t>Aralık</w:t>
      </w:r>
      <w:r w:rsidR="003E6E70" w:rsidRPr="003859B8">
        <w:rPr>
          <w:rFonts w:ascii="Arial" w:hAnsi="Arial" w:cs="Arial"/>
          <w:sz w:val="22"/>
          <w:szCs w:val="22"/>
        </w:rPr>
        <w:t xml:space="preserve"> 202</w:t>
      </w:r>
      <w:r w:rsidR="005F3050" w:rsidRPr="003859B8">
        <w:rPr>
          <w:rFonts w:ascii="Arial" w:hAnsi="Arial" w:cs="Arial"/>
          <w:sz w:val="22"/>
          <w:szCs w:val="22"/>
        </w:rPr>
        <w:t>4</w:t>
      </w:r>
      <w:r w:rsidRPr="003859B8">
        <w:rPr>
          <w:rFonts w:ascii="Arial" w:hAnsi="Arial" w:cs="Arial"/>
          <w:sz w:val="22"/>
          <w:szCs w:val="22"/>
        </w:rPr>
        <w:t xml:space="preserve"> dönemi itibariyle </w:t>
      </w:r>
      <w:r w:rsidR="001F7A18" w:rsidRPr="003859B8">
        <w:rPr>
          <w:rFonts w:ascii="Arial" w:hAnsi="Arial" w:cs="Arial"/>
          <w:sz w:val="22"/>
          <w:szCs w:val="22"/>
        </w:rPr>
        <w:t>1.623</w:t>
      </w:r>
      <w:r w:rsidR="006576EB" w:rsidRPr="003859B8">
        <w:rPr>
          <w:rFonts w:ascii="Arial" w:hAnsi="Arial" w:cs="Arial"/>
          <w:sz w:val="22"/>
          <w:szCs w:val="22"/>
        </w:rPr>
        <w:t xml:space="preserve"> </w:t>
      </w:r>
      <w:r w:rsidR="001C0104" w:rsidRPr="003859B8">
        <w:rPr>
          <w:rFonts w:ascii="Arial" w:hAnsi="Arial" w:cs="Arial"/>
          <w:sz w:val="22"/>
          <w:szCs w:val="22"/>
        </w:rPr>
        <w:t xml:space="preserve">milyar TL olmuştur. Bunun </w:t>
      </w:r>
      <w:r w:rsidR="003E6E70" w:rsidRPr="003859B8">
        <w:rPr>
          <w:rFonts w:ascii="Arial" w:hAnsi="Arial" w:cs="Arial"/>
          <w:sz w:val="22"/>
          <w:szCs w:val="22"/>
        </w:rPr>
        <w:t>1.</w:t>
      </w:r>
      <w:r w:rsidR="001F7A18" w:rsidRPr="003859B8">
        <w:rPr>
          <w:rFonts w:ascii="Arial" w:hAnsi="Arial" w:cs="Arial"/>
          <w:sz w:val="22"/>
          <w:szCs w:val="22"/>
        </w:rPr>
        <w:t>507</w:t>
      </w:r>
      <w:r w:rsidR="003E6E70" w:rsidRPr="003859B8">
        <w:rPr>
          <w:rFonts w:ascii="Arial" w:hAnsi="Arial" w:cs="Arial"/>
          <w:sz w:val="22"/>
          <w:szCs w:val="22"/>
        </w:rPr>
        <w:t xml:space="preserve"> milyar TL’si nakdi, </w:t>
      </w:r>
      <w:r w:rsidR="005F3050" w:rsidRPr="003859B8">
        <w:rPr>
          <w:rFonts w:ascii="Arial" w:hAnsi="Arial" w:cs="Arial"/>
          <w:sz w:val="22"/>
          <w:szCs w:val="22"/>
        </w:rPr>
        <w:t>11</w:t>
      </w:r>
      <w:r w:rsidR="001F7A18" w:rsidRPr="003859B8">
        <w:rPr>
          <w:rFonts w:ascii="Arial" w:hAnsi="Arial" w:cs="Arial"/>
          <w:sz w:val="22"/>
          <w:szCs w:val="22"/>
        </w:rPr>
        <w:t>5</w:t>
      </w:r>
      <w:r w:rsidRPr="003859B8">
        <w:rPr>
          <w:rFonts w:ascii="Arial" w:hAnsi="Arial" w:cs="Arial"/>
          <w:sz w:val="22"/>
          <w:szCs w:val="22"/>
        </w:rPr>
        <w:t xml:space="preserve"> milyar TL’si gayrinakdi kredi </w:t>
      </w:r>
      <w:r w:rsidR="00442468" w:rsidRPr="003859B8">
        <w:rPr>
          <w:rFonts w:ascii="Arial" w:hAnsi="Arial" w:cs="Arial"/>
          <w:sz w:val="22"/>
          <w:szCs w:val="22"/>
        </w:rPr>
        <w:t>olarak</w:t>
      </w:r>
      <w:r w:rsidRPr="003859B8">
        <w:rPr>
          <w:rFonts w:ascii="Arial" w:hAnsi="Arial" w:cs="Arial"/>
          <w:sz w:val="22"/>
          <w:szCs w:val="22"/>
        </w:rPr>
        <w:t xml:space="preserve"> kullandırılmıştır.</w:t>
      </w:r>
    </w:p>
    <w:p w14:paraId="28AA02A3" w14:textId="77777777" w:rsidR="00C01C1A" w:rsidRPr="003859B8" w:rsidRDefault="00C01C1A" w:rsidP="00C01C1A">
      <w:pPr>
        <w:rPr>
          <w:rFonts w:ascii="Arial" w:hAnsi="Arial" w:cs="Arial"/>
          <w:szCs w:val="24"/>
          <w:highlight w:val="yellow"/>
        </w:rPr>
      </w:pPr>
    </w:p>
    <w:p w14:paraId="1D33E2A3" w14:textId="77777777" w:rsidR="00C01C1A" w:rsidRPr="003859B8" w:rsidRDefault="00C01C1A" w:rsidP="00C01C1A">
      <w:pPr>
        <w:jc w:val="center"/>
        <w:rPr>
          <w:rFonts w:ascii="Arial" w:hAnsi="Arial" w:cs="Arial"/>
          <w:b/>
          <w:szCs w:val="24"/>
        </w:rPr>
      </w:pPr>
      <w:r w:rsidRPr="003859B8">
        <w:rPr>
          <w:rFonts w:ascii="Arial" w:hAnsi="Arial" w:cs="Arial"/>
          <w:b/>
          <w:szCs w:val="24"/>
        </w:rPr>
        <w:t>Proje Finansmanı Kredileri Dağılımı (milyar TL)</w:t>
      </w:r>
    </w:p>
    <w:p w14:paraId="6A8A3C43" w14:textId="77777777" w:rsidR="00CA2F6F" w:rsidRPr="003859B8" w:rsidRDefault="00CA2F6F" w:rsidP="00C01C1A">
      <w:pPr>
        <w:jc w:val="center"/>
        <w:rPr>
          <w:rFonts w:ascii="Arial" w:hAnsi="Arial" w:cs="Arial"/>
          <w:b/>
          <w:szCs w:val="24"/>
        </w:rPr>
      </w:pPr>
    </w:p>
    <w:tbl>
      <w:tblPr>
        <w:tblW w:w="78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5"/>
        <w:gridCol w:w="1258"/>
        <w:gridCol w:w="1254"/>
        <w:gridCol w:w="1417"/>
        <w:gridCol w:w="1142"/>
      </w:tblGrid>
      <w:tr w:rsidR="003859B8" w:rsidRPr="003859B8" w14:paraId="05AB56C7" w14:textId="77777777" w:rsidTr="00CA2F6F">
        <w:trPr>
          <w:trHeight w:val="523"/>
          <w:jc w:val="center"/>
        </w:trPr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36C742" w14:textId="77777777" w:rsidR="008C4B10" w:rsidRPr="003859B8" w:rsidRDefault="008C4B10" w:rsidP="008C4B10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3859B8">
              <w:rPr>
                <w:rFonts w:ascii="Arial" w:hAnsi="Arial" w:cs="Arial"/>
                <w:b/>
                <w:bCs/>
                <w:sz w:val="20"/>
                <w:lang w:eastAsia="tr-TR"/>
              </w:rPr>
              <w:t> (Milyar TL)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5486FE8D" w14:textId="77777777" w:rsidR="003A44E8" w:rsidRPr="003859B8" w:rsidRDefault="003A44E8" w:rsidP="003A44E8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3859B8">
              <w:rPr>
                <w:rFonts w:ascii="Arial" w:hAnsi="Arial" w:cs="Arial"/>
                <w:b/>
                <w:bCs/>
                <w:sz w:val="20"/>
                <w:lang w:eastAsia="tr-TR"/>
              </w:rPr>
              <w:t>Haziran 24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E03D50" w14:textId="77777777" w:rsidR="008C4B10" w:rsidRPr="003859B8" w:rsidRDefault="001F7A18" w:rsidP="00CA2F6F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3859B8">
              <w:rPr>
                <w:rFonts w:ascii="Arial" w:hAnsi="Arial" w:cs="Arial"/>
                <w:b/>
                <w:bCs/>
                <w:sz w:val="20"/>
                <w:lang w:eastAsia="tr-TR"/>
              </w:rPr>
              <w:t>Aralık</w:t>
            </w:r>
            <w:r w:rsidR="008C4B10" w:rsidRPr="003859B8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2</w:t>
            </w:r>
            <w:r w:rsidR="00CA2F6F" w:rsidRPr="003859B8">
              <w:rPr>
                <w:rFonts w:ascii="Arial" w:hAnsi="Arial" w:cs="Arial"/>
                <w:b/>
                <w:bCs/>
                <w:sz w:val="20"/>
                <w:lang w:eastAsia="tr-T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A9D1AF4" w14:textId="77777777" w:rsidR="008C4B10" w:rsidRPr="003859B8" w:rsidRDefault="008C4B10" w:rsidP="008C4B10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3859B8">
              <w:rPr>
                <w:rFonts w:ascii="Arial" w:hAnsi="Arial" w:cs="Arial"/>
                <w:b/>
                <w:bCs/>
                <w:sz w:val="20"/>
                <w:lang w:eastAsia="tr-TR"/>
              </w:rPr>
              <w:t>Değişme</w:t>
            </w:r>
            <w:r w:rsidRPr="003859B8">
              <w:rPr>
                <w:rFonts w:ascii="Arial" w:hAnsi="Arial" w:cs="Arial"/>
                <w:b/>
                <w:bCs/>
                <w:sz w:val="20"/>
                <w:lang w:eastAsia="tr-TR"/>
              </w:rPr>
              <w:br/>
              <w:t xml:space="preserve"> (6 aylık, yüzde)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81FC3E7" w14:textId="77777777" w:rsidR="008C4B10" w:rsidRPr="003859B8" w:rsidRDefault="008C4B10" w:rsidP="008C4B10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3859B8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 Pay (yüzde)</w:t>
            </w:r>
          </w:p>
        </w:tc>
      </w:tr>
      <w:tr w:rsidR="003859B8" w:rsidRPr="003859B8" w14:paraId="5E01A9B7" w14:textId="77777777" w:rsidTr="00CA2F6F">
        <w:trPr>
          <w:trHeight w:val="279"/>
          <w:jc w:val="center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2CCC50" w14:textId="77777777" w:rsidR="001F7A18" w:rsidRPr="003859B8" w:rsidRDefault="001F7A18" w:rsidP="001F7A18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3859B8">
              <w:rPr>
                <w:rFonts w:ascii="Arial" w:hAnsi="Arial" w:cs="Arial"/>
                <w:b/>
                <w:bCs/>
                <w:sz w:val="20"/>
                <w:lang w:eastAsia="tr-TR"/>
              </w:rPr>
              <w:t>Toplam Risk Bakiyesi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A6DF7E" w14:textId="77777777" w:rsidR="001F7A18" w:rsidRPr="003859B8" w:rsidRDefault="001F7A18" w:rsidP="001F7A18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3859B8">
              <w:rPr>
                <w:rFonts w:ascii="Arial" w:hAnsi="Arial" w:cs="Arial"/>
                <w:sz w:val="20"/>
              </w:rPr>
              <w:t>1.581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D8DB16" w14:textId="77777777" w:rsidR="001F7A18" w:rsidRPr="003859B8" w:rsidRDefault="001F7A18" w:rsidP="001F7A18">
            <w:pPr>
              <w:jc w:val="right"/>
              <w:rPr>
                <w:rFonts w:ascii="Arial" w:hAnsi="Arial" w:cs="Arial"/>
                <w:sz w:val="20"/>
              </w:rPr>
            </w:pPr>
            <w:r w:rsidRPr="003859B8">
              <w:rPr>
                <w:rFonts w:ascii="Arial" w:hAnsi="Arial" w:cs="Arial"/>
                <w:sz w:val="20"/>
              </w:rPr>
              <w:t>1.623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59AD90" w14:textId="77777777" w:rsidR="001F7A18" w:rsidRPr="003859B8" w:rsidRDefault="001F7A18" w:rsidP="001F7A18">
            <w:pPr>
              <w:jc w:val="right"/>
              <w:rPr>
                <w:rFonts w:ascii="Arial" w:hAnsi="Arial" w:cs="Arial"/>
                <w:sz w:val="20"/>
              </w:rPr>
            </w:pPr>
            <w:r w:rsidRPr="003859B8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644D98" w14:textId="77777777" w:rsidR="001F7A18" w:rsidRPr="003859B8" w:rsidRDefault="001F7A18" w:rsidP="001F7A18">
            <w:pPr>
              <w:jc w:val="right"/>
              <w:rPr>
                <w:rFonts w:ascii="Arial" w:hAnsi="Arial" w:cs="Arial"/>
                <w:sz w:val="20"/>
              </w:rPr>
            </w:pPr>
            <w:r w:rsidRPr="003859B8">
              <w:rPr>
                <w:rFonts w:ascii="Arial" w:hAnsi="Arial" w:cs="Arial"/>
                <w:sz w:val="20"/>
              </w:rPr>
              <w:t>100</w:t>
            </w:r>
          </w:p>
        </w:tc>
      </w:tr>
      <w:tr w:rsidR="003859B8" w:rsidRPr="003859B8" w14:paraId="401A3246" w14:textId="77777777" w:rsidTr="00CA2F6F">
        <w:trPr>
          <w:trHeight w:val="279"/>
          <w:jc w:val="center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D8C819" w14:textId="77777777" w:rsidR="001F7A18" w:rsidRPr="003859B8" w:rsidRDefault="001F7A18" w:rsidP="001F7A18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3859B8">
              <w:rPr>
                <w:rFonts w:ascii="Arial" w:hAnsi="Arial" w:cs="Arial"/>
                <w:bCs/>
                <w:sz w:val="20"/>
                <w:lang w:eastAsia="tr-TR"/>
              </w:rPr>
              <w:t xml:space="preserve">   Nakdi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8108CD" w14:textId="77777777" w:rsidR="001F7A18" w:rsidRPr="003859B8" w:rsidRDefault="001F7A18" w:rsidP="001F7A18">
            <w:pPr>
              <w:jc w:val="right"/>
              <w:rPr>
                <w:rFonts w:ascii="Arial" w:hAnsi="Arial" w:cs="Arial"/>
                <w:sz w:val="20"/>
              </w:rPr>
            </w:pPr>
            <w:r w:rsidRPr="003859B8">
              <w:rPr>
                <w:rFonts w:ascii="Arial" w:hAnsi="Arial" w:cs="Arial"/>
                <w:sz w:val="20"/>
              </w:rPr>
              <w:t>1.469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3B7046" w14:textId="77777777" w:rsidR="001F7A18" w:rsidRPr="003859B8" w:rsidRDefault="001F7A18" w:rsidP="001F7A18">
            <w:pPr>
              <w:jc w:val="right"/>
              <w:rPr>
                <w:rFonts w:ascii="Arial" w:hAnsi="Arial" w:cs="Arial"/>
                <w:sz w:val="20"/>
              </w:rPr>
            </w:pPr>
            <w:r w:rsidRPr="003859B8">
              <w:rPr>
                <w:rFonts w:ascii="Arial" w:hAnsi="Arial" w:cs="Arial"/>
                <w:sz w:val="20"/>
              </w:rPr>
              <w:t>1.507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4EFD91" w14:textId="77777777" w:rsidR="001F7A18" w:rsidRPr="003859B8" w:rsidRDefault="001F7A18" w:rsidP="001F7A18">
            <w:pPr>
              <w:jc w:val="right"/>
              <w:rPr>
                <w:rFonts w:ascii="Arial" w:hAnsi="Arial" w:cs="Arial"/>
                <w:sz w:val="20"/>
              </w:rPr>
            </w:pPr>
            <w:r w:rsidRPr="003859B8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627473" w14:textId="77777777" w:rsidR="001F7A18" w:rsidRPr="003859B8" w:rsidRDefault="001F7A18" w:rsidP="001F7A18">
            <w:pPr>
              <w:jc w:val="right"/>
              <w:rPr>
                <w:rFonts w:ascii="Arial" w:hAnsi="Arial" w:cs="Arial"/>
                <w:sz w:val="20"/>
              </w:rPr>
            </w:pPr>
            <w:r w:rsidRPr="003859B8">
              <w:rPr>
                <w:rFonts w:ascii="Arial" w:hAnsi="Arial" w:cs="Arial"/>
                <w:sz w:val="20"/>
              </w:rPr>
              <w:t>93</w:t>
            </w:r>
          </w:p>
        </w:tc>
      </w:tr>
      <w:tr w:rsidR="003859B8" w:rsidRPr="003859B8" w14:paraId="76577989" w14:textId="77777777" w:rsidTr="00CA2F6F">
        <w:trPr>
          <w:trHeight w:val="279"/>
          <w:jc w:val="center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0780BE" w14:textId="77777777" w:rsidR="001F7A18" w:rsidRPr="003859B8" w:rsidRDefault="001F7A18" w:rsidP="001F7A18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3859B8">
              <w:rPr>
                <w:rFonts w:ascii="Arial" w:hAnsi="Arial" w:cs="Arial"/>
                <w:bCs/>
                <w:sz w:val="20"/>
                <w:lang w:eastAsia="tr-TR"/>
              </w:rPr>
              <w:t xml:space="preserve">   Gayrinakdi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E2E6A4" w14:textId="77777777" w:rsidR="001F7A18" w:rsidRPr="003859B8" w:rsidRDefault="001F7A18" w:rsidP="001F7A18">
            <w:pPr>
              <w:jc w:val="right"/>
              <w:rPr>
                <w:rFonts w:ascii="Arial" w:hAnsi="Arial" w:cs="Arial"/>
                <w:sz w:val="20"/>
              </w:rPr>
            </w:pPr>
            <w:r w:rsidRPr="003859B8">
              <w:rPr>
                <w:rFonts w:ascii="Arial" w:hAnsi="Arial" w:cs="Arial"/>
                <w:sz w:val="20"/>
              </w:rPr>
              <w:t>113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717D1" w14:textId="77777777" w:rsidR="001F7A18" w:rsidRPr="003859B8" w:rsidRDefault="001F7A18" w:rsidP="001F7A18">
            <w:pPr>
              <w:jc w:val="right"/>
              <w:rPr>
                <w:rFonts w:ascii="Arial" w:hAnsi="Arial" w:cs="Arial"/>
                <w:sz w:val="20"/>
              </w:rPr>
            </w:pPr>
            <w:r w:rsidRPr="003859B8"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197887" w14:textId="77777777" w:rsidR="001F7A18" w:rsidRPr="003859B8" w:rsidRDefault="001F7A18" w:rsidP="001F7A18">
            <w:pPr>
              <w:jc w:val="right"/>
              <w:rPr>
                <w:rFonts w:ascii="Arial" w:hAnsi="Arial" w:cs="Arial"/>
                <w:sz w:val="20"/>
              </w:rPr>
            </w:pPr>
            <w:r w:rsidRPr="003859B8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31B773" w14:textId="77777777" w:rsidR="001F7A18" w:rsidRPr="003859B8" w:rsidRDefault="001F7A18" w:rsidP="001F7A18">
            <w:pPr>
              <w:jc w:val="right"/>
              <w:rPr>
                <w:rFonts w:ascii="Arial" w:hAnsi="Arial" w:cs="Arial"/>
                <w:sz w:val="20"/>
              </w:rPr>
            </w:pPr>
            <w:r w:rsidRPr="003859B8">
              <w:rPr>
                <w:rFonts w:ascii="Arial" w:hAnsi="Arial" w:cs="Arial"/>
                <w:sz w:val="20"/>
              </w:rPr>
              <w:t>7</w:t>
            </w:r>
          </w:p>
        </w:tc>
      </w:tr>
      <w:tr w:rsidR="003859B8" w:rsidRPr="003859B8" w14:paraId="624106D7" w14:textId="77777777" w:rsidTr="005B0303">
        <w:trPr>
          <w:trHeight w:val="386"/>
          <w:jc w:val="center"/>
        </w:trPr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DE76E8" w14:textId="77777777" w:rsidR="001F7A18" w:rsidRPr="003859B8" w:rsidRDefault="001F7A18" w:rsidP="001F7A18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3859B8">
              <w:rPr>
                <w:rFonts w:ascii="Arial" w:hAnsi="Arial" w:cs="Arial"/>
                <w:b/>
                <w:bCs/>
                <w:sz w:val="20"/>
                <w:lang w:eastAsia="tr-TR"/>
              </w:rPr>
              <w:t>Toplam taahhüt (bilgi için)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358458C1" w14:textId="77777777" w:rsidR="001F7A18" w:rsidRPr="003859B8" w:rsidRDefault="001F7A18" w:rsidP="001F7A18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3859B8">
              <w:rPr>
                <w:rFonts w:ascii="Arial" w:hAnsi="Arial" w:cs="Arial"/>
                <w:sz w:val="20"/>
              </w:rPr>
              <w:t>2.620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4DBFFA" w14:textId="77777777" w:rsidR="001F7A18" w:rsidRPr="003859B8" w:rsidRDefault="001F7A18" w:rsidP="001F7A18">
            <w:pPr>
              <w:jc w:val="right"/>
              <w:rPr>
                <w:rFonts w:ascii="Arial" w:hAnsi="Arial" w:cs="Arial"/>
                <w:sz w:val="20"/>
              </w:rPr>
            </w:pPr>
            <w:r w:rsidRPr="003859B8">
              <w:rPr>
                <w:rFonts w:ascii="Arial" w:hAnsi="Arial" w:cs="Arial"/>
                <w:sz w:val="20"/>
              </w:rPr>
              <w:t>2.861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CAA7D3" w14:textId="77777777" w:rsidR="001F7A18" w:rsidRPr="003859B8" w:rsidRDefault="001F7A18" w:rsidP="001F7A18">
            <w:pPr>
              <w:jc w:val="right"/>
              <w:rPr>
                <w:rFonts w:ascii="Arial" w:hAnsi="Arial" w:cs="Arial"/>
                <w:sz w:val="20"/>
              </w:rPr>
            </w:pPr>
            <w:r w:rsidRPr="003859B8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950081" w14:textId="77777777" w:rsidR="001F7A18" w:rsidRPr="003859B8" w:rsidRDefault="001F7A18" w:rsidP="001F7A18">
            <w:pPr>
              <w:jc w:val="right"/>
              <w:rPr>
                <w:rFonts w:ascii="Arial" w:hAnsi="Arial" w:cs="Arial"/>
                <w:sz w:val="20"/>
              </w:rPr>
            </w:pPr>
            <w:r w:rsidRPr="003859B8">
              <w:rPr>
                <w:rFonts w:ascii="Arial" w:hAnsi="Arial" w:cs="Arial"/>
                <w:sz w:val="20"/>
              </w:rPr>
              <w:t>-</w:t>
            </w:r>
          </w:p>
        </w:tc>
      </w:tr>
    </w:tbl>
    <w:p w14:paraId="73B045DC" w14:textId="77777777" w:rsidR="002C5AE8" w:rsidRPr="003859B8" w:rsidRDefault="002C5AE8" w:rsidP="002C5AE8">
      <w:pPr>
        <w:jc w:val="both"/>
        <w:rPr>
          <w:rFonts w:ascii="Arial" w:hAnsi="Arial" w:cs="Arial"/>
          <w:szCs w:val="24"/>
          <w:highlight w:val="yellow"/>
        </w:rPr>
      </w:pPr>
    </w:p>
    <w:p w14:paraId="4C750E5E" w14:textId="77777777" w:rsidR="002C5AE8" w:rsidRPr="003859B8" w:rsidRDefault="002C5AE8" w:rsidP="002C5AE8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3859B8">
        <w:rPr>
          <w:rFonts w:ascii="Arial" w:hAnsi="Arial" w:cs="Arial"/>
          <w:sz w:val="22"/>
          <w:szCs w:val="22"/>
        </w:rPr>
        <w:t>Toplam taahhüt miktarı ise 2.</w:t>
      </w:r>
      <w:r w:rsidR="001F7A18" w:rsidRPr="003859B8">
        <w:rPr>
          <w:rFonts w:ascii="Arial" w:hAnsi="Arial" w:cs="Arial"/>
          <w:sz w:val="22"/>
          <w:szCs w:val="22"/>
        </w:rPr>
        <w:t>861</w:t>
      </w:r>
      <w:r w:rsidRPr="003859B8">
        <w:rPr>
          <w:rFonts w:ascii="Arial" w:hAnsi="Arial" w:cs="Arial"/>
          <w:sz w:val="22"/>
          <w:szCs w:val="22"/>
        </w:rPr>
        <w:t xml:space="preserve"> milyar TL (8</w:t>
      </w:r>
      <w:r w:rsidR="001F7A18" w:rsidRPr="003859B8">
        <w:rPr>
          <w:rFonts w:ascii="Arial" w:hAnsi="Arial" w:cs="Arial"/>
          <w:sz w:val="22"/>
          <w:szCs w:val="22"/>
        </w:rPr>
        <w:t>1</w:t>
      </w:r>
      <w:r w:rsidRPr="003859B8">
        <w:rPr>
          <w:rFonts w:ascii="Arial" w:hAnsi="Arial" w:cs="Arial"/>
          <w:sz w:val="22"/>
          <w:szCs w:val="22"/>
        </w:rPr>
        <w:t xml:space="preserve"> milyar dolar) olarak gerçekleşmiştir.</w:t>
      </w:r>
    </w:p>
    <w:p w14:paraId="41B51952" w14:textId="77777777" w:rsidR="00032307" w:rsidRPr="003859B8" w:rsidRDefault="00032307" w:rsidP="00C01C1A">
      <w:pPr>
        <w:rPr>
          <w:rFonts w:ascii="Arial" w:hAnsi="Arial" w:cs="Arial"/>
          <w:szCs w:val="24"/>
          <w:highlight w:val="yellow"/>
        </w:rPr>
      </w:pPr>
    </w:p>
    <w:p w14:paraId="5B992B37" w14:textId="77777777" w:rsidR="00D545AE" w:rsidRPr="003859B8" w:rsidRDefault="00D545AE" w:rsidP="007D4643">
      <w:pPr>
        <w:jc w:val="center"/>
        <w:rPr>
          <w:rFonts w:ascii="Arial" w:hAnsi="Arial" w:cs="Arial"/>
          <w:b/>
          <w:szCs w:val="24"/>
        </w:rPr>
      </w:pPr>
    </w:p>
    <w:p w14:paraId="1E1BC150" w14:textId="77777777" w:rsidR="001F7A18" w:rsidRPr="003859B8" w:rsidRDefault="001F7A18" w:rsidP="007D4643">
      <w:pPr>
        <w:jc w:val="center"/>
        <w:rPr>
          <w:rFonts w:ascii="Arial" w:hAnsi="Arial" w:cs="Arial"/>
          <w:b/>
          <w:szCs w:val="24"/>
        </w:rPr>
      </w:pPr>
    </w:p>
    <w:p w14:paraId="29D3D5DB" w14:textId="77777777" w:rsidR="001F7A18" w:rsidRDefault="001F7A18" w:rsidP="007D4643">
      <w:pPr>
        <w:jc w:val="center"/>
        <w:rPr>
          <w:rFonts w:ascii="Arial" w:hAnsi="Arial" w:cs="Arial"/>
          <w:b/>
          <w:szCs w:val="24"/>
        </w:rPr>
      </w:pPr>
    </w:p>
    <w:p w14:paraId="0022FCCD" w14:textId="77777777" w:rsidR="00162A09" w:rsidRPr="003859B8" w:rsidRDefault="00162A09" w:rsidP="007D4643">
      <w:pPr>
        <w:jc w:val="center"/>
        <w:rPr>
          <w:rFonts w:ascii="Arial" w:hAnsi="Arial" w:cs="Arial"/>
          <w:b/>
          <w:szCs w:val="24"/>
        </w:rPr>
      </w:pPr>
    </w:p>
    <w:p w14:paraId="3EC00A73" w14:textId="77777777" w:rsidR="001F7A18" w:rsidRPr="003859B8" w:rsidRDefault="001F7A18" w:rsidP="007D4643">
      <w:pPr>
        <w:jc w:val="center"/>
        <w:rPr>
          <w:rFonts w:ascii="Arial" w:hAnsi="Arial" w:cs="Arial"/>
          <w:b/>
          <w:szCs w:val="24"/>
        </w:rPr>
      </w:pPr>
    </w:p>
    <w:p w14:paraId="685DBA16" w14:textId="77777777" w:rsidR="002C5AE8" w:rsidRPr="003859B8" w:rsidRDefault="00C01C1A" w:rsidP="007D4643">
      <w:pPr>
        <w:jc w:val="center"/>
        <w:rPr>
          <w:rFonts w:ascii="Arial" w:hAnsi="Arial" w:cs="Arial"/>
          <w:b/>
          <w:szCs w:val="24"/>
        </w:rPr>
      </w:pPr>
      <w:r w:rsidRPr="003859B8">
        <w:rPr>
          <w:rFonts w:ascii="Arial" w:hAnsi="Arial" w:cs="Arial"/>
          <w:b/>
          <w:szCs w:val="24"/>
        </w:rPr>
        <w:lastRenderedPageBreak/>
        <w:t xml:space="preserve">Proje Finansmanı </w:t>
      </w:r>
      <w:r w:rsidR="002C5AE8" w:rsidRPr="003859B8">
        <w:rPr>
          <w:rFonts w:ascii="Arial" w:hAnsi="Arial" w:cs="Arial"/>
          <w:b/>
          <w:szCs w:val="24"/>
        </w:rPr>
        <w:t xml:space="preserve">Nakdi Krediler </w:t>
      </w:r>
      <w:r w:rsidRPr="003859B8">
        <w:rPr>
          <w:rFonts w:ascii="Arial" w:hAnsi="Arial" w:cs="Arial"/>
          <w:b/>
          <w:szCs w:val="24"/>
        </w:rPr>
        <w:t>Sektörel Dağılım</w:t>
      </w:r>
    </w:p>
    <w:p w14:paraId="6EB8D5CD" w14:textId="77777777" w:rsidR="00C01C1A" w:rsidRPr="003859B8" w:rsidRDefault="00C01C1A" w:rsidP="007D4643">
      <w:pPr>
        <w:jc w:val="center"/>
        <w:rPr>
          <w:rFonts w:ascii="Arial" w:hAnsi="Arial" w:cs="Arial"/>
          <w:b/>
          <w:szCs w:val="24"/>
        </w:rPr>
      </w:pPr>
      <w:r w:rsidRPr="003859B8">
        <w:rPr>
          <w:rFonts w:ascii="Arial" w:hAnsi="Arial" w:cs="Arial"/>
          <w:b/>
          <w:szCs w:val="24"/>
        </w:rPr>
        <w:t>(</w:t>
      </w:r>
      <w:r w:rsidR="000B098A" w:rsidRPr="003859B8">
        <w:rPr>
          <w:rFonts w:ascii="Arial" w:hAnsi="Arial" w:cs="Arial"/>
          <w:b/>
          <w:szCs w:val="24"/>
        </w:rPr>
        <w:t xml:space="preserve">Risk bakiyesi, </w:t>
      </w:r>
      <w:r w:rsidR="009A0E69" w:rsidRPr="003859B8">
        <w:rPr>
          <w:rFonts w:ascii="Arial" w:hAnsi="Arial" w:cs="Arial"/>
          <w:b/>
          <w:szCs w:val="24"/>
        </w:rPr>
        <w:t>Aralık</w:t>
      </w:r>
      <w:r w:rsidRPr="003859B8">
        <w:rPr>
          <w:rFonts w:ascii="Arial" w:hAnsi="Arial" w:cs="Arial"/>
          <w:b/>
          <w:szCs w:val="24"/>
        </w:rPr>
        <w:t xml:space="preserve"> 202</w:t>
      </w:r>
      <w:r w:rsidR="00B55E40" w:rsidRPr="003859B8">
        <w:rPr>
          <w:rFonts w:ascii="Arial" w:hAnsi="Arial" w:cs="Arial"/>
          <w:b/>
          <w:szCs w:val="24"/>
        </w:rPr>
        <w:t>4</w:t>
      </w:r>
      <w:r w:rsidRPr="003859B8">
        <w:rPr>
          <w:rFonts w:ascii="Arial" w:hAnsi="Arial" w:cs="Arial"/>
          <w:b/>
          <w:szCs w:val="24"/>
        </w:rPr>
        <w:t>, milyar TL, yüzde)</w:t>
      </w:r>
    </w:p>
    <w:p w14:paraId="43EF0452" w14:textId="77777777" w:rsidR="007D5CA2" w:rsidRPr="003859B8" w:rsidRDefault="007D5CA2" w:rsidP="007D4643">
      <w:pPr>
        <w:jc w:val="center"/>
        <w:rPr>
          <w:rFonts w:ascii="Arial" w:hAnsi="Arial" w:cs="Arial"/>
          <w:b/>
          <w:szCs w:val="24"/>
        </w:rPr>
      </w:pPr>
    </w:p>
    <w:p w14:paraId="43859887" w14:textId="77777777" w:rsidR="007D5CA2" w:rsidRPr="003859B8" w:rsidRDefault="009A0E69" w:rsidP="007D4643">
      <w:pPr>
        <w:jc w:val="center"/>
        <w:rPr>
          <w:rFonts w:ascii="Arial" w:hAnsi="Arial" w:cs="Arial"/>
          <w:b/>
          <w:szCs w:val="24"/>
        </w:rPr>
      </w:pPr>
      <w:r w:rsidRPr="003859B8">
        <w:rPr>
          <w:noProof/>
          <w:lang w:eastAsia="tr-TR"/>
        </w:rPr>
        <w:drawing>
          <wp:inline distT="0" distB="0" distL="0" distR="0" wp14:anchorId="03FF2F52" wp14:editId="6FC71B0D">
            <wp:extent cx="4564380" cy="2533650"/>
            <wp:effectExtent l="0" t="0" r="7620" b="0"/>
            <wp:docPr id="39233882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7394B9B" w14:textId="77777777" w:rsidR="007D5CA2" w:rsidRPr="003859B8" w:rsidRDefault="007D5CA2" w:rsidP="007D4643">
      <w:pPr>
        <w:jc w:val="center"/>
        <w:rPr>
          <w:rFonts w:ascii="Arial" w:hAnsi="Arial" w:cs="Arial"/>
          <w:b/>
          <w:szCs w:val="24"/>
        </w:rPr>
      </w:pPr>
    </w:p>
    <w:p w14:paraId="6C166DF8" w14:textId="77777777" w:rsidR="00D545AE" w:rsidRPr="003859B8" w:rsidRDefault="00D545AE" w:rsidP="00BE6273">
      <w:pPr>
        <w:tabs>
          <w:tab w:val="left" w:pos="972"/>
        </w:tabs>
        <w:jc w:val="both"/>
        <w:rPr>
          <w:rFonts w:ascii="Arial" w:hAnsi="Arial" w:cs="Arial"/>
          <w:sz w:val="22"/>
          <w:szCs w:val="22"/>
        </w:rPr>
      </w:pPr>
      <w:r w:rsidRPr="003859B8">
        <w:rPr>
          <w:rFonts w:ascii="Arial" w:hAnsi="Arial" w:cs="Arial"/>
          <w:sz w:val="22"/>
          <w:szCs w:val="22"/>
        </w:rPr>
        <w:t xml:space="preserve">Proje finansmanı kredilerinin yüzde 37’si altyapı, yüzde </w:t>
      </w:r>
      <w:r w:rsidR="00DF217A" w:rsidRPr="003859B8">
        <w:rPr>
          <w:rFonts w:ascii="Arial" w:hAnsi="Arial" w:cs="Arial"/>
          <w:sz w:val="22"/>
          <w:szCs w:val="22"/>
        </w:rPr>
        <w:t>33’ü</w:t>
      </w:r>
      <w:r w:rsidRPr="003859B8">
        <w:rPr>
          <w:rFonts w:ascii="Arial" w:hAnsi="Arial" w:cs="Arial"/>
          <w:sz w:val="22"/>
          <w:szCs w:val="22"/>
        </w:rPr>
        <w:t xml:space="preserve"> enerji, yüzde 1</w:t>
      </w:r>
      <w:r w:rsidR="00DF217A" w:rsidRPr="003859B8">
        <w:rPr>
          <w:rFonts w:ascii="Arial" w:hAnsi="Arial" w:cs="Arial"/>
          <w:sz w:val="22"/>
          <w:szCs w:val="22"/>
        </w:rPr>
        <w:t>2</w:t>
      </w:r>
      <w:r w:rsidRPr="003859B8">
        <w:rPr>
          <w:rFonts w:ascii="Arial" w:hAnsi="Arial" w:cs="Arial"/>
          <w:sz w:val="22"/>
          <w:szCs w:val="22"/>
        </w:rPr>
        <w:t>’</w:t>
      </w:r>
      <w:r w:rsidR="00DF217A" w:rsidRPr="003859B8">
        <w:rPr>
          <w:rFonts w:ascii="Arial" w:hAnsi="Arial" w:cs="Arial"/>
          <w:sz w:val="22"/>
          <w:szCs w:val="22"/>
        </w:rPr>
        <w:t>s</w:t>
      </w:r>
      <w:r w:rsidRPr="003859B8">
        <w:rPr>
          <w:rFonts w:ascii="Arial" w:hAnsi="Arial" w:cs="Arial"/>
          <w:sz w:val="22"/>
          <w:szCs w:val="22"/>
        </w:rPr>
        <w:t>i ticari gayrimenkul sektörüne kullandırılmıştır. Diğer sektörlerin toplam içindeki payı yüzde 1</w:t>
      </w:r>
      <w:r w:rsidR="00DF217A" w:rsidRPr="003859B8">
        <w:rPr>
          <w:rFonts w:ascii="Arial" w:hAnsi="Arial" w:cs="Arial"/>
          <w:sz w:val="22"/>
          <w:szCs w:val="22"/>
        </w:rPr>
        <w:t>8</w:t>
      </w:r>
      <w:r w:rsidRPr="003859B8">
        <w:rPr>
          <w:rFonts w:ascii="Arial" w:hAnsi="Arial" w:cs="Arial"/>
          <w:sz w:val="22"/>
          <w:szCs w:val="22"/>
        </w:rPr>
        <w:t>’d</w:t>
      </w:r>
      <w:r w:rsidR="00DF217A" w:rsidRPr="003859B8">
        <w:rPr>
          <w:rFonts w:ascii="Arial" w:hAnsi="Arial" w:cs="Arial"/>
          <w:sz w:val="22"/>
          <w:szCs w:val="22"/>
        </w:rPr>
        <w:t>i</w:t>
      </w:r>
      <w:r w:rsidRPr="003859B8">
        <w:rPr>
          <w:rFonts w:ascii="Arial" w:hAnsi="Arial" w:cs="Arial"/>
          <w:sz w:val="22"/>
          <w:szCs w:val="22"/>
        </w:rPr>
        <w:t xml:space="preserve">r. Yenilenebilir enerjinin, enerji kredileri içindeki payı ise yüzde </w:t>
      </w:r>
      <w:r w:rsidR="00DF217A" w:rsidRPr="003859B8">
        <w:rPr>
          <w:rFonts w:ascii="Arial" w:hAnsi="Arial" w:cs="Arial"/>
          <w:sz w:val="22"/>
          <w:szCs w:val="22"/>
        </w:rPr>
        <w:t>57’dir.</w:t>
      </w:r>
    </w:p>
    <w:p w14:paraId="3385BC41" w14:textId="77777777" w:rsidR="000D049A" w:rsidRPr="003859B8" w:rsidRDefault="000D049A" w:rsidP="007C1FFD">
      <w:pPr>
        <w:rPr>
          <w:rFonts w:ascii="Arial" w:hAnsi="Arial" w:cs="Arial"/>
          <w:sz w:val="22"/>
          <w:szCs w:val="22"/>
          <w:highlight w:val="yellow"/>
        </w:rPr>
      </w:pPr>
    </w:p>
    <w:p w14:paraId="2C93D884" w14:textId="77777777" w:rsidR="007C1FFD" w:rsidRPr="003859B8" w:rsidRDefault="000D049A" w:rsidP="000D049A">
      <w:pPr>
        <w:jc w:val="center"/>
        <w:rPr>
          <w:rFonts w:ascii="Arial" w:hAnsi="Arial" w:cs="Arial"/>
          <w:b/>
          <w:szCs w:val="24"/>
        </w:rPr>
      </w:pPr>
      <w:r w:rsidRPr="003859B8">
        <w:rPr>
          <w:rFonts w:ascii="Arial" w:hAnsi="Arial" w:cs="Arial"/>
          <w:b/>
          <w:szCs w:val="24"/>
        </w:rPr>
        <w:t>Proje Finansman Kredileri Sektörel Dağılım</w:t>
      </w:r>
      <w:r w:rsidR="00447C61" w:rsidRPr="003859B8">
        <w:rPr>
          <w:rFonts w:ascii="Arial" w:hAnsi="Arial" w:cs="Arial"/>
          <w:b/>
          <w:szCs w:val="24"/>
        </w:rPr>
        <w:t xml:space="preserve"> (milyar dolar</w:t>
      </w:r>
      <w:r w:rsidR="000124D1" w:rsidRPr="003859B8">
        <w:rPr>
          <w:rFonts w:ascii="Arial" w:hAnsi="Arial" w:cs="Arial"/>
          <w:b/>
          <w:szCs w:val="24"/>
        </w:rPr>
        <w:t>)</w:t>
      </w:r>
    </w:p>
    <w:p w14:paraId="3EE5FDB2" w14:textId="77777777" w:rsidR="00B3626F" w:rsidRPr="003859B8" w:rsidRDefault="00B3626F" w:rsidP="000D049A">
      <w:pPr>
        <w:jc w:val="center"/>
        <w:rPr>
          <w:rFonts w:ascii="Arial" w:hAnsi="Arial" w:cs="Arial"/>
          <w:b/>
          <w:szCs w:val="24"/>
          <w:highlight w:val="yellow"/>
        </w:rPr>
      </w:pPr>
    </w:p>
    <w:tbl>
      <w:tblPr>
        <w:tblW w:w="85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1914"/>
        <w:gridCol w:w="1275"/>
        <w:gridCol w:w="993"/>
        <w:gridCol w:w="2458"/>
      </w:tblGrid>
      <w:tr w:rsidR="003859B8" w:rsidRPr="003859B8" w14:paraId="1880E807" w14:textId="77777777" w:rsidTr="002D0092">
        <w:trPr>
          <w:trHeight w:val="572"/>
          <w:jc w:val="center"/>
        </w:trPr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4262EB" w14:textId="77777777" w:rsidR="00E27145" w:rsidRPr="003859B8" w:rsidRDefault="00E27145" w:rsidP="00E27145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3859B8">
              <w:rPr>
                <w:rFonts w:ascii="Arial" w:hAnsi="Arial" w:cs="Arial"/>
                <w:b/>
                <w:bCs/>
                <w:sz w:val="20"/>
                <w:lang w:eastAsia="tr-TR"/>
              </w:rPr>
              <w:t>  (Milyar dolar)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45D98F43" w14:textId="77777777" w:rsidR="00E27145" w:rsidRPr="003859B8" w:rsidRDefault="00E27145" w:rsidP="00E27145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3859B8">
              <w:rPr>
                <w:rFonts w:ascii="Arial" w:hAnsi="Arial" w:cs="Arial"/>
                <w:b/>
                <w:bCs/>
                <w:sz w:val="20"/>
                <w:lang w:eastAsia="tr-TR"/>
              </w:rPr>
              <w:t>Haziran 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59D887" w14:textId="77777777" w:rsidR="00E27145" w:rsidRPr="003859B8" w:rsidRDefault="00E27145" w:rsidP="00E27145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3859B8">
              <w:rPr>
                <w:rFonts w:ascii="Arial" w:hAnsi="Arial" w:cs="Arial"/>
                <w:b/>
                <w:bCs/>
                <w:sz w:val="20"/>
                <w:lang w:eastAsia="tr-TR"/>
              </w:rPr>
              <w:t>Aralık 24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FD48F0D" w14:textId="77777777" w:rsidR="00E27145" w:rsidRPr="003859B8" w:rsidRDefault="00E27145" w:rsidP="00E27145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3859B8">
              <w:rPr>
                <w:rFonts w:ascii="Arial" w:hAnsi="Arial" w:cs="Arial"/>
                <w:b/>
                <w:bCs/>
                <w:sz w:val="20"/>
                <w:lang w:eastAsia="tr-TR"/>
              </w:rPr>
              <w:t>Değişme</w:t>
            </w:r>
            <w:r w:rsidRPr="003859B8">
              <w:rPr>
                <w:rFonts w:ascii="Arial" w:hAnsi="Arial" w:cs="Arial"/>
                <w:b/>
                <w:bCs/>
                <w:sz w:val="20"/>
                <w:lang w:eastAsia="tr-TR"/>
              </w:rPr>
              <w:br/>
              <w:t xml:space="preserve"> (6 aylık, yüzde)</w:t>
            </w:r>
          </w:p>
        </w:tc>
      </w:tr>
      <w:tr w:rsidR="003859B8" w:rsidRPr="003859B8" w14:paraId="1B73E61D" w14:textId="77777777" w:rsidTr="00E27145">
        <w:trPr>
          <w:trHeight w:val="20"/>
          <w:jc w:val="center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52033A" w14:textId="77777777" w:rsidR="00E27145" w:rsidRPr="003859B8" w:rsidRDefault="00E27145" w:rsidP="00E27145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3859B8">
              <w:rPr>
                <w:rFonts w:ascii="Arial" w:hAnsi="Arial" w:cs="Arial"/>
                <w:b/>
                <w:bCs/>
                <w:sz w:val="20"/>
                <w:lang w:eastAsia="tr-TR"/>
              </w:rPr>
              <w:t>Toplam Risk Bakiyesi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5281C3" w14:textId="77777777" w:rsidR="00E27145" w:rsidRPr="003859B8" w:rsidRDefault="00E27145" w:rsidP="00E2714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3859B8">
              <w:rPr>
                <w:rFonts w:ascii="Arial" w:hAnsi="Arial" w:cs="Arial"/>
                <w:b/>
                <w:bCs/>
                <w:sz w:val="20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D4910CB" w14:textId="77777777" w:rsidR="00E27145" w:rsidRPr="003859B8" w:rsidRDefault="00E27145" w:rsidP="00E2714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3859B8">
              <w:rPr>
                <w:rFonts w:ascii="Arial" w:hAnsi="Arial" w:cs="Arial"/>
                <w:b/>
                <w:bCs/>
                <w:sz w:val="20"/>
              </w:rPr>
              <w:t>46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163ECC" w14:textId="77777777" w:rsidR="00E27145" w:rsidRPr="003859B8" w:rsidRDefault="00E27145" w:rsidP="00E27145">
            <w:pPr>
              <w:jc w:val="right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3859B8">
              <w:rPr>
                <w:rFonts w:ascii="Arial" w:hAnsi="Arial" w:cs="Arial"/>
                <w:b/>
                <w:bCs/>
                <w:sz w:val="20"/>
              </w:rPr>
              <w:t>-4</w:t>
            </w:r>
          </w:p>
        </w:tc>
      </w:tr>
      <w:tr w:rsidR="003859B8" w:rsidRPr="003859B8" w14:paraId="646E1BC0" w14:textId="77777777" w:rsidTr="00E27145">
        <w:trPr>
          <w:trHeight w:val="20"/>
          <w:jc w:val="center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4F9D62" w14:textId="77777777" w:rsidR="00E27145" w:rsidRPr="003859B8" w:rsidRDefault="00E27145" w:rsidP="00E27145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3859B8">
              <w:rPr>
                <w:rFonts w:ascii="Arial" w:hAnsi="Arial" w:cs="Arial"/>
                <w:b/>
                <w:bCs/>
                <w:sz w:val="20"/>
                <w:lang w:eastAsia="tr-TR"/>
              </w:rPr>
              <w:t>Enerji Kredileri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5590F1" w14:textId="77777777" w:rsidR="00E27145" w:rsidRPr="003859B8" w:rsidRDefault="00E27145" w:rsidP="00E27145">
            <w:pPr>
              <w:jc w:val="right"/>
              <w:rPr>
                <w:rFonts w:ascii="Arial" w:hAnsi="Arial" w:cs="Arial"/>
                <w:sz w:val="20"/>
              </w:rPr>
            </w:pPr>
            <w:r w:rsidRPr="003859B8">
              <w:rPr>
                <w:rFonts w:ascii="Arial" w:hAnsi="Arial" w:cs="Arial"/>
                <w:b/>
                <w:bCs/>
                <w:sz w:val="20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A64D4F" w14:textId="77777777" w:rsidR="00E27145" w:rsidRPr="003859B8" w:rsidRDefault="00E27145" w:rsidP="00E27145">
            <w:pPr>
              <w:jc w:val="right"/>
              <w:rPr>
                <w:rFonts w:ascii="Arial" w:hAnsi="Arial" w:cs="Arial"/>
                <w:sz w:val="20"/>
              </w:rPr>
            </w:pPr>
            <w:r w:rsidRPr="003859B8">
              <w:rPr>
                <w:rFonts w:ascii="Arial" w:hAnsi="Arial" w:cs="Arial"/>
                <w:b/>
                <w:bCs/>
                <w:sz w:val="20"/>
              </w:rPr>
              <w:t>16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8F0AEC9" w14:textId="77777777" w:rsidR="00E27145" w:rsidRPr="003859B8" w:rsidRDefault="00E27145" w:rsidP="00E2714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859B8">
              <w:rPr>
                <w:rFonts w:ascii="Arial" w:hAnsi="Arial" w:cs="Arial"/>
                <w:b/>
                <w:bCs/>
                <w:sz w:val="20"/>
              </w:rPr>
              <w:t>-5</w:t>
            </w:r>
          </w:p>
        </w:tc>
      </w:tr>
      <w:tr w:rsidR="003859B8" w:rsidRPr="003859B8" w14:paraId="3601F530" w14:textId="77777777" w:rsidTr="00E27145">
        <w:trPr>
          <w:trHeight w:val="20"/>
          <w:jc w:val="center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2B8092" w14:textId="77777777" w:rsidR="00E27145" w:rsidRPr="003859B8" w:rsidRDefault="00E27145" w:rsidP="00E27145">
            <w:pPr>
              <w:ind w:firstLineChars="200" w:firstLine="400"/>
              <w:rPr>
                <w:rFonts w:ascii="Arial" w:hAnsi="Arial" w:cs="Arial"/>
                <w:bCs/>
                <w:sz w:val="20"/>
                <w:lang w:eastAsia="tr-TR"/>
              </w:rPr>
            </w:pPr>
            <w:r w:rsidRPr="003859B8">
              <w:rPr>
                <w:rFonts w:ascii="Arial" w:hAnsi="Arial" w:cs="Arial"/>
                <w:bCs/>
                <w:sz w:val="20"/>
                <w:lang w:eastAsia="tr-TR"/>
              </w:rPr>
              <w:t>Enerji Üretimi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F0497D" w14:textId="77777777" w:rsidR="00E27145" w:rsidRPr="003859B8" w:rsidRDefault="00E27145" w:rsidP="00E27145">
            <w:pPr>
              <w:jc w:val="right"/>
              <w:rPr>
                <w:rFonts w:ascii="Arial" w:hAnsi="Arial" w:cs="Arial"/>
                <w:sz w:val="20"/>
              </w:rPr>
            </w:pPr>
            <w:r w:rsidRPr="003859B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402258" w14:textId="77777777" w:rsidR="00E27145" w:rsidRPr="003859B8" w:rsidRDefault="00E27145" w:rsidP="00E27145">
            <w:pPr>
              <w:jc w:val="right"/>
              <w:rPr>
                <w:rFonts w:ascii="Arial" w:hAnsi="Arial" w:cs="Arial"/>
                <w:sz w:val="20"/>
              </w:rPr>
            </w:pPr>
            <w:r w:rsidRPr="003859B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2724D08" w14:textId="77777777" w:rsidR="00E27145" w:rsidRPr="003859B8" w:rsidRDefault="00E27145" w:rsidP="00E27145">
            <w:pPr>
              <w:jc w:val="right"/>
              <w:rPr>
                <w:rFonts w:ascii="Arial" w:hAnsi="Arial" w:cs="Arial"/>
                <w:sz w:val="20"/>
              </w:rPr>
            </w:pPr>
            <w:r w:rsidRPr="003859B8">
              <w:rPr>
                <w:rFonts w:ascii="Arial" w:hAnsi="Arial" w:cs="Arial"/>
                <w:sz w:val="20"/>
              </w:rPr>
              <w:t>-6</w:t>
            </w:r>
          </w:p>
        </w:tc>
      </w:tr>
      <w:tr w:rsidR="003859B8" w:rsidRPr="003859B8" w14:paraId="3FFDC881" w14:textId="77777777" w:rsidTr="00E27145">
        <w:trPr>
          <w:trHeight w:val="20"/>
          <w:jc w:val="center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27FEA5" w14:textId="77777777" w:rsidR="00E27145" w:rsidRPr="003859B8" w:rsidRDefault="00E27145" w:rsidP="00E27145">
            <w:pPr>
              <w:ind w:firstLineChars="400" w:firstLine="800"/>
              <w:rPr>
                <w:rFonts w:ascii="Arial" w:hAnsi="Arial" w:cs="Arial"/>
                <w:bCs/>
                <w:sz w:val="20"/>
                <w:lang w:eastAsia="tr-TR"/>
              </w:rPr>
            </w:pPr>
            <w:r w:rsidRPr="003859B8">
              <w:rPr>
                <w:rFonts w:ascii="Arial" w:hAnsi="Arial" w:cs="Arial"/>
                <w:bCs/>
                <w:sz w:val="20"/>
                <w:lang w:eastAsia="tr-TR"/>
              </w:rPr>
              <w:t>Yenilenebilir Enerji (bilgi için)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60A901" w14:textId="77777777" w:rsidR="00E27145" w:rsidRPr="003859B8" w:rsidRDefault="00E27145" w:rsidP="00E27145">
            <w:pPr>
              <w:jc w:val="right"/>
              <w:rPr>
                <w:rFonts w:ascii="Arial" w:hAnsi="Arial" w:cs="Arial"/>
                <w:sz w:val="20"/>
              </w:rPr>
            </w:pPr>
            <w:r w:rsidRPr="003859B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405385" w14:textId="77777777" w:rsidR="00E27145" w:rsidRPr="003859B8" w:rsidRDefault="00E27145" w:rsidP="00E27145">
            <w:pPr>
              <w:jc w:val="right"/>
              <w:rPr>
                <w:rFonts w:ascii="Arial" w:hAnsi="Arial" w:cs="Arial"/>
                <w:sz w:val="20"/>
              </w:rPr>
            </w:pPr>
            <w:r w:rsidRPr="003859B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D0EC15" w14:textId="77777777" w:rsidR="00E27145" w:rsidRPr="003859B8" w:rsidRDefault="00E27145" w:rsidP="00E27145">
            <w:pPr>
              <w:jc w:val="right"/>
              <w:rPr>
                <w:rFonts w:ascii="Arial" w:hAnsi="Arial" w:cs="Arial"/>
                <w:sz w:val="20"/>
              </w:rPr>
            </w:pPr>
            <w:r w:rsidRPr="003859B8">
              <w:rPr>
                <w:rFonts w:ascii="Arial" w:hAnsi="Arial" w:cs="Arial"/>
                <w:sz w:val="20"/>
              </w:rPr>
              <w:t>1</w:t>
            </w:r>
          </w:p>
        </w:tc>
      </w:tr>
      <w:tr w:rsidR="003859B8" w:rsidRPr="003859B8" w14:paraId="0A001CD3" w14:textId="77777777" w:rsidTr="00E27145">
        <w:trPr>
          <w:trHeight w:val="20"/>
          <w:jc w:val="center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01E5C4" w14:textId="77777777" w:rsidR="00E27145" w:rsidRPr="003859B8" w:rsidRDefault="00E27145" w:rsidP="00E27145">
            <w:pPr>
              <w:ind w:firstLineChars="200" w:firstLine="400"/>
              <w:rPr>
                <w:rFonts w:ascii="Arial" w:hAnsi="Arial" w:cs="Arial"/>
                <w:bCs/>
                <w:sz w:val="20"/>
                <w:lang w:eastAsia="tr-TR"/>
              </w:rPr>
            </w:pPr>
            <w:r w:rsidRPr="003859B8">
              <w:rPr>
                <w:rFonts w:ascii="Arial" w:hAnsi="Arial" w:cs="Arial"/>
                <w:bCs/>
                <w:sz w:val="20"/>
                <w:lang w:eastAsia="tr-TR"/>
              </w:rPr>
              <w:t xml:space="preserve">Üretim Dışı Enerji Faaliyetleri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D84F12" w14:textId="77777777" w:rsidR="00E27145" w:rsidRPr="003859B8" w:rsidRDefault="00E27145" w:rsidP="00E27145">
            <w:pPr>
              <w:jc w:val="right"/>
              <w:rPr>
                <w:rFonts w:ascii="Arial" w:hAnsi="Arial" w:cs="Arial"/>
                <w:sz w:val="20"/>
              </w:rPr>
            </w:pPr>
            <w:r w:rsidRPr="003859B8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5E283A" w14:textId="77777777" w:rsidR="00E27145" w:rsidRPr="003859B8" w:rsidRDefault="00E27145" w:rsidP="00E27145">
            <w:pPr>
              <w:jc w:val="right"/>
              <w:rPr>
                <w:rFonts w:ascii="Arial" w:hAnsi="Arial" w:cs="Arial"/>
                <w:sz w:val="20"/>
              </w:rPr>
            </w:pPr>
            <w:r w:rsidRPr="003859B8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13A05DF" w14:textId="77777777" w:rsidR="00E27145" w:rsidRPr="003859B8" w:rsidRDefault="00E27145" w:rsidP="00E27145">
            <w:pPr>
              <w:jc w:val="right"/>
              <w:rPr>
                <w:rFonts w:ascii="Arial" w:hAnsi="Arial" w:cs="Arial"/>
                <w:sz w:val="20"/>
              </w:rPr>
            </w:pPr>
            <w:r w:rsidRPr="003859B8">
              <w:rPr>
                <w:rFonts w:ascii="Arial" w:hAnsi="Arial" w:cs="Arial"/>
                <w:sz w:val="20"/>
              </w:rPr>
              <w:t>0</w:t>
            </w:r>
          </w:p>
        </w:tc>
      </w:tr>
      <w:tr w:rsidR="003859B8" w:rsidRPr="003859B8" w14:paraId="30CE9620" w14:textId="77777777" w:rsidTr="00E27145">
        <w:trPr>
          <w:trHeight w:val="20"/>
          <w:jc w:val="center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15E71D7" w14:textId="77777777" w:rsidR="00E27145" w:rsidRPr="003859B8" w:rsidRDefault="00E27145" w:rsidP="00E27145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3859B8">
              <w:rPr>
                <w:rFonts w:ascii="Arial" w:hAnsi="Arial" w:cs="Arial"/>
                <w:b/>
                <w:bCs/>
                <w:sz w:val="20"/>
                <w:lang w:eastAsia="tr-TR"/>
              </w:rPr>
              <w:t>Altyapı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421EDE" w14:textId="77777777" w:rsidR="00E27145" w:rsidRPr="003859B8" w:rsidRDefault="00E27145" w:rsidP="00E27145">
            <w:pPr>
              <w:jc w:val="right"/>
              <w:rPr>
                <w:rFonts w:ascii="Arial" w:hAnsi="Arial" w:cs="Arial"/>
                <w:sz w:val="20"/>
              </w:rPr>
            </w:pPr>
            <w:r w:rsidRPr="003859B8">
              <w:rPr>
                <w:rFonts w:ascii="Arial" w:hAnsi="Arial" w:cs="Arial"/>
                <w:b/>
                <w:bCs/>
                <w:sz w:val="20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A71BB8" w14:textId="77777777" w:rsidR="00E27145" w:rsidRPr="003859B8" w:rsidRDefault="00E27145" w:rsidP="00E27145">
            <w:pPr>
              <w:jc w:val="right"/>
              <w:rPr>
                <w:rFonts w:ascii="Arial" w:hAnsi="Arial" w:cs="Arial"/>
                <w:sz w:val="20"/>
              </w:rPr>
            </w:pPr>
            <w:r w:rsidRPr="003859B8">
              <w:rPr>
                <w:rFonts w:ascii="Arial" w:hAnsi="Arial" w:cs="Arial"/>
                <w:b/>
                <w:bCs/>
                <w:sz w:val="20"/>
              </w:rPr>
              <w:t>16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3DF18FD" w14:textId="77777777" w:rsidR="00E27145" w:rsidRPr="003859B8" w:rsidRDefault="00E27145" w:rsidP="00E27145">
            <w:pPr>
              <w:jc w:val="right"/>
              <w:rPr>
                <w:rFonts w:ascii="Arial" w:hAnsi="Arial" w:cs="Arial"/>
                <w:sz w:val="20"/>
              </w:rPr>
            </w:pPr>
            <w:r w:rsidRPr="003859B8">
              <w:rPr>
                <w:rFonts w:ascii="Arial" w:hAnsi="Arial" w:cs="Arial"/>
                <w:sz w:val="20"/>
              </w:rPr>
              <w:t>-10</w:t>
            </w:r>
          </w:p>
        </w:tc>
      </w:tr>
      <w:tr w:rsidR="003859B8" w:rsidRPr="003859B8" w14:paraId="1AA96BFE" w14:textId="77777777" w:rsidTr="00E27145">
        <w:trPr>
          <w:trHeight w:val="20"/>
          <w:jc w:val="center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6218E7" w14:textId="77777777" w:rsidR="00E27145" w:rsidRPr="003859B8" w:rsidRDefault="00E27145" w:rsidP="00E27145">
            <w:pPr>
              <w:ind w:firstLineChars="200" w:firstLine="400"/>
              <w:rPr>
                <w:rFonts w:ascii="Arial" w:hAnsi="Arial" w:cs="Arial"/>
                <w:bCs/>
                <w:sz w:val="20"/>
                <w:lang w:eastAsia="tr-TR"/>
              </w:rPr>
            </w:pPr>
            <w:r w:rsidRPr="003859B8">
              <w:rPr>
                <w:rFonts w:ascii="Arial" w:hAnsi="Arial" w:cs="Arial"/>
                <w:bCs/>
                <w:sz w:val="20"/>
                <w:lang w:eastAsia="tr-TR"/>
              </w:rPr>
              <w:t>Ulaştırma Projeleri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621023" w14:textId="77777777" w:rsidR="00E27145" w:rsidRPr="003859B8" w:rsidRDefault="00E27145" w:rsidP="00E27145">
            <w:pPr>
              <w:jc w:val="right"/>
              <w:rPr>
                <w:rFonts w:ascii="Arial" w:hAnsi="Arial" w:cs="Arial"/>
                <w:sz w:val="20"/>
              </w:rPr>
            </w:pPr>
            <w:r w:rsidRPr="003859B8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11EDBA" w14:textId="77777777" w:rsidR="00E27145" w:rsidRPr="003859B8" w:rsidRDefault="00E27145" w:rsidP="00E27145">
            <w:pPr>
              <w:jc w:val="right"/>
              <w:rPr>
                <w:rFonts w:ascii="Arial" w:hAnsi="Arial" w:cs="Arial"/>
                <w:sz w:val="20"/>
              </w:rPr>
            </w:pPr>
            <w:r w:rsidRPr="003859B8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1D9C6BA" w14:textId="77777777" w:rsidR="00E27145" w:rsidRPr="003859B8" w:rsidRDefault="00E27145" w:rsidP="00E27145">
            <w:pPr>
              <w:jc w:val="right"/>
              <w:rPr>
                <w:rFonts w:ascii="Arial" w:hAnsi="Arial" w:cs="Arial"/>
                <w:sz w:val="20"/>
              </w:rPr>
            </w:pPr>
            <w:r w:rsidRPr="003859B8">
              <w:rPr>
                <w:rFonts w:ascii="Arial" w:hAnsi="Arial" w:cs="Arial"/>
                <w:sz w:val="20"/>
              </w:rPr>
              <w:t>-11</w:t>
            </w:r>
          </w:p>
        </w:tc>
      </w:tr>
      <w:tr w:rsidR="003859B8" w:rsidRPr="003859B8" w14:paraId="33C0648C" w14:textId="77777777" w:rsidTr="00E27145">
        <w:trPr>
          <w:trHeight w:val="20"/>
          <w:jc w:val="center"/>
        </w:trPr>
        <w:tc>
          <w:tcPr>
            <w:tcW w:w="3828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0A0BF5F" w14:textId="77777777" w:rsidR="00E27145" w:rsidRPr="003859B8" w:rsidRDefault="00E27145" w:rsidP="00E27145">
            <w:pPr>
              <w:ind w:firstLineChars="200" w:firstLine="400"/>
              <w:rPr>
                <w:rFonts w:ascii="Arial" w:hAnsi="Arial" w:cs="Arial"/>
                <w:bCs/>
                <w:sz w:val="20"/>
                <w:lang w:eastAsia="tr-TR"/>
              </w:rPr>
            </w:pPr>
            <w:r w:rsidRPr="003859B8">
              <w:rPr>
                <w:rFonts w:ascii="Arial" w:hAnsi="Arial" w:cs="Arial"/>
                <w:bCs/>
                <w:sz w:val="20"/>
                <w:lang w:eastAsia="tr-TR"/>
              </w:rPr>
              <w:t>Diğer Altyapı Kredileri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61DA9705" w14:textId="77777777" w:rsidR="00E27145" w:rsidRPr="003859B8" w:rsidRDefault="00E27145" w:rsidP="00E27145">
            <w:pPr>
              <w:jc w:val="right"/>
              <w:rPr>
                <w:rFonts w:ascii="Arial" w:hAnsi="Arial" w:cs="Arial"/>
                <w:sz w:val="20"/>
              </w:rPr>
            </w:pPr>
            <w:r w:rsidRPr="003859B8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19E0903B" w14:textId="77777777" w:rsidR="00E27145" w:rsidRPr="003859B8" w:rsidRDefault="00E27145" w:rsidP="00E27145">
            <w:pPr>
              <w:jc w:val="right"/>
              <w:rPr>
                <w:rFonts w:ascii="Arial" w:hAnsi="Arial" w:cs="Arial"/>
                <w:sz w:val="20"/>
              </w:rPr>
            </w:pPr>
            <w:r w:rsidRPr="003859B8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45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709F31C" w14:textId="77777777" w:rsidR="00E27145" w:rsidRPr="003859B8" w:rsidRDefault="00F5200B" w:rsidP="00E27145">
            <w:pPr>
              <w:jc w:val="right"/>
              <w:rPr>
                <w:rFonts w:ascii="Arial" w:hAnsi="Arial" w:cs="Arial"/>
                <w:sz w:val="20"/>
              </w:rPr>
            </w:pPr>
            <w:r w:rsidRPr="003859B8">
              <w:rPr>
                <w:rFonts w:ascii="Arial" w:hAnsi="Arial" w:cs="Arial"/>
                <w:sz w:val="20"/>
              </w:rPr>
              <w:t>-3</w:t>
            </w:r>
          </w:p>
        </w:tc>
      </w:tr>
      <w:tr w:rsidR="003859B8" w:rsidRPr="003859B8" w14:paraId="4E2894C7" w14:textId="77777777" w:rsidTr="00E27145">
        <w:trPr>
          <w:trHeight w:val="20"/>
          <w:jc w:val="center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DE0D7F" w14:textId="77777777" w:rsidR="00E27145" w:rsidRPr="003859B8" w:rsidRDefault="00E27145" w:rsidP="00E27145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3859B8">
              <w:rPr>
                <w:rFonts w:ascii="Arial" w:hAnsi="Arial" w:cs="Arial"/>
                <w:b/>
                <w:bCs/>
                <w:sz w:val="20"/>
                <w:lang w:eastAsia="tr-TR"/>
              </w:rPr>
              <w:t>Ticari Gayrimenkul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B8BBA5" w14:textId="77777777" w:rsidR="00E27145" w:rsidRPr="003859B8" w:rsidRDefault="00E27145" w:rsidP="00E27145">
            <w:pPr>
              <w:jc w:val="right"/>
              <w:rPr>
                <w:rFonts w:ascii="Arial" w:hAnsi="Arial" w:cs="Arial"/>
                <w:sz w:val="20"/>
              </w:rPr>
            </w:pPr>
            <w:r w:rsidRPr="003859B8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03822F" w14:textId="77777777" w:rsidR="00E27145" w:rsidRPr="003859B8" w:rsidRDefault="00E27145" w:rsidP="00E27145">
            <w:pPr>
              <w:jc w:val="right"/>
              <w:rPr>
                <w:rFonts w:ascii="Arial" w:hAnsi="Arial" w:cs="Arial"/>
                <w:sz w:val="20"/>
              </w:rPr>
            </w:pPr>
            <w:r w:rsidRPr="003859B8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AA6055C" w14:textId="77777777" w:rsidR="00E27145" w:rsidRPr="003859B8" w:rsidRDefault="00E27145" w:rsidP="00E27145">
            <w:pPr>
              <w:jc w:val="right"/>
              <w:rPr>
                <w:rFonts w:ascii="Arial" w:hAnsi="Arial" w:cs="Arial"/>
                <w:sz w:val="20"/>
              </w:rPr>
            </w:pPr>
            <w:r w:rsidRPr="003859B8">
              <w:rPr>
                <w:rFonts w:ascii="Arial" w:hAnsi="Arial" w:cs="Arial"/>
                <w:sz w:val="20"/>
              </w:rPr>
              <w:t>-4</w:t>
            </w:r>
          </w:p>
        </w:tc>
      </w:tr>
      <w:tr w:rsidR="003859B8" w:rsidRPr="003859B8" w14:paraId="3AB90FF2" w14:textId="77777777" w:rsidTr="00E27145">
        <w:trPr>
          <w:trHeight w:val="20"/>
          <w:jc w:val="center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E087F7" w14:textId="77777777" w:rsidR="00E27145" w:rsidRPr="003859B8" w:rsidRDefault="00E27145" w:rsidP="00E27145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3859B8">
              <w:rPr>
                <w:rFonts w:ascii="Arial" w:hAnsi="Arial" w:cs="Arial"/>
                <w:b/>
                <w:bCs/>
                <w:sz w:val="20"/>
                <w:lang w:eastAsia="tr-TR"/>
              </w:rPr>
              <w:t>Diğer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1CCB0E7" w14:textId="77777777" w:rsidR="00E27145" w:rsidRPr="003859B8" w:rsidRDefault="00E27145" w:rsidP="00E27145">
            <w:pPr>
              <w:jc w:val="right"/>
              <w:rPr>
                <w:rFonts w:ascii="Arial" w:hAnsi="Arial" w:cs="Arial"/>
                <w:sz w:val="20"/>
              </w:rPr>
            </w:pPr>
            <w:r w:rsidRPr="003859B8"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4AB3ACC" w14:textId="77777777" w:rsidR="00E27145" w:rsidRPr="003859B8" w:rsidRDefault="00E27145" w:rsidP="00E27145">
            <w:pPr>
              <w:jc w:val="right"/>
              <w:rPr>
                <w:rFonts w:ascii="Arial" w:hAnsi="Arial" w:cs="Arial"/>
                <w:sz w:val="20"/>
              </w:rPr>
            </w:pPr>
            <w:r w:rsidRPr="003859B8"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7FB9CBE" w14:textId="77777777" w:rsidR="00E27145" w:rsidRPr="003859B8" w:rsidRDefault="00E27145" w:rsidP="00E27145">
            <w:pPr>
              <w:jc w:val="right"/>
              <w:rPr>
                <w:rFonts w:ascii="Arial" w:hAnsi="Arial" w:cs="Arial"/>
                <w:sz w:val="20"/>
              </w:rPr>
            </w:pPr>
            <w:r w:rsidRPr="003859B8">
              <w:rPr>
                <w:rFonts w:ascii="Arial" w:hAnsi="Arial" w:cs="Arial"/>
                <w:sz w:val="20"/>
              </w:rPr>
              <w:t>8</w:t>
            </w:r>
          </w:p>
        </w:tc>
      </w:tr>
      <w:tr w:rsidR="003859B8" w:rsidRPr="003859B8" w14:paraId="5F054C25" w14:textId="77777777" w:rsidTr="007D5CA2">
        <w:tblPrEx>
          <w:jc w:val="left"/>
          <w:tblCellMar>
            <w:left w:w="0" w:type="dxa"/>
            <w:right w:w="0" w:type="dxa"/>
          </w:tblCellMar>
        </w:tblPrEx>
        <w:trPr>
          <w:gridAfter w:val="3"/>
          <w:wAfter w:w="4726" w:type="dxa"/>
          <w:trHeight w:val="2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59878" w14:textId="77777777" w:rsidR="004B4C70" w:rsidRPr="003859B8" w:rsidRDefault="004B4C70" w:rsidP="004B4C70">
            <w:pPr>
              <w:jc w:val="right"/>
              <w:rPr>
                <w:rFonts w:ascii="Arial" w:hAnsi="Arial" w:cs="Arial"/>
                <w:sz w:val="20"/>
                <w:lang w:val="en-GB" w:eastAsia="en-GB"/>
              </w:rPr>
            </w:pPr>
          </w:p>
        </w:tc>
        <w:tc>
          <w:tcPr>
            <w:tcW w:w="0" w:type="auto"/>
          </w:tcPr>
          <w:p w14:paraId="33D72077" w14:textId="77777777" w:rsidR="004B4C70" w:rsidRPr="003859B8" w:rsidRDefault="004B4C70" w:rsidP="004B4C70">
            <w:pPr>
              <w:spacing w:after="160" w:line="259" w:lineRule="auto"/>
              <w:rPr>
                <w:sz w:val="20"/>
                <w:lang w:val="en-GB" w:eastAsia="en-GB"/>
              </w:rPr>
            </w:pPr>
          </w:p>
        </w:tc>
      </w:tr>
    </w:tbl>
    <w:p w14:paraId="69471C41" w14:textId="784C52F3" w:rsidR="00D545AE" w:rsidRPr="003859B8" w:rsidRDefault="00D545AE" w:rsidP="00D545AE">
      <w:pPr>
        <w:tabs>
          <w:tab w:val="left" w:pos="972"/>
        </w:tabs>
        <w:jc w:val="both"/>
        <w:rPr>
          <w:rFonts w:ascii="Arial" w:hAnsi="Arial" w:cs="Arial"/>
          <w:sz w:val="22"/>
          <w:szCs w:val="22"/>
        </w:rPr>
      </w:pPr>
      <w:r w:rsidRPr="003859B8">
        <w:rPr>
          <w:rFonts w:ascii="Arial" w:hAnsi="Arial" w:cs="Arial"/>
          <w:sz w:val="22"/>
          <w:szCs w:val="22"/>
        </w:rPr>
        <w:t xml:space="preserve">Enerji sektöründe risk bakiyesi </w:t>
      </w:r>
      <w:r w:rsidR="00E27145" w:rsidRPr="003859B8">
        <w:rPr>
          <w:rFonts w:ascii="Arial" w:hAnsi="Arial" w:cs="Arial"/>
          <w:sz w:val="22"/>
          <w:szCs w:val="22"/>
        </w:rPr>
        <w:t>1</w:t>
      </w:r>
      <w:r w:rsidR="002D0092">
        <w:rPr>
          <w:rFonts w:ascii="Arial" w:hAnsi="Arial" w:cs="Arial"/>
          <w:sz w:val="22"/>
          <w:szCs w:val="22"/>
        </w:rPr>
        <w:t>6</w:t>
      </w:r>
      <w:r w:rsidRPr="003859B8">
        <w:rPr>
          <w:rFonts w:ascii="Arial" w:hAnsi="Arial" w:cs="Arial"/>
          <w:sz w:val="22"/>
          <w:szCs w:val="22"/>
        </w:rPr>
        <w:t xml:space="preserve"> milyar dolar olmuştur. Aynı dönem itibariyle, risk bakiyesi, altyapıda 1</w:t>
      </w:r>
      <w:r w:rsidR="00E27145" w:rsidRPr="003859B8">
        <w:rPr>
          <w:rFonts w:ascii="Arial" w:hAnsi="Arial" w:cs="Arial"/>
          <w:sz w:val="22"/>
          <w:szCs w:val="22"/>
        </w:rPr>
        <w:t>6</w:t>
      </w:r>
      <w:r w:rsidRPr="003859B8">
        <w:rPr>
          <w:rFonts w:ascii="Arial" w:hAnsi="Arial" w:cs="Arial"/>
          <w:sz w:val="22"/>
          <w:szCs w:val="22"/>
        </w:rPr>
        <w:t xml:space="preserve"> milyar dolar, ticari gayrimenkul sektöründe 5 milyar dolar ve diğer sektörlerde </w:t>
      </w:r>
      <w:r w:rsidR="00BD2EB4" w:rsidRPr="003859B8">
        <w:rPr>
          <w:rFonts w:ascii="Arial" w:hAnsi="Arial" w:cs="Arial"/>
          <w:sz w:val="22"/>
          <w:szCs w:val="22"/>
        </w:rPr>
        <w:t>8</w:t>
      </w:r>
      <w:r w:rsidRPr="003859B8">
        <w:rPr>
          <w:rFonts w:ascii="Arial" w:hAnsi="Arial" w:cs="Arial"/>
          <w:sz w:val="22"/>
          <w:szCs w:val="22"/>
        </w:rPr>
        <w:t xml:space="preserve"> milyar dolardır. </w:t>
      </w:r>
    </w:p>
    <w:p w14:paraId="6813CA45" w14:textId="77777777" w:rsidR="00BE6273" w:rsidRPr="003859B8" w:rsidRDefault="007C1FFD" w:rsidP="00242371">
      <w:pPr>
        <w:tabs>
          <w:tab w:val="left" w:pos="1944"/>
        </w:tabs>
        <w:jc w:val="both"/>
        <w:rPr>
          <w:rFonts w:ascii="Arial" w:hAnsi="Arial" w:cs="Arial"/>
          <w:szCs w:val="24"/>
        </w:rPr>
      </w:pPr>
      <w:r w:rsidRPr="003859B8">
        <w:rPr>
          <w:rFonts w:ascii="Arial" w:hAnsi="Arial" w:cs="Arial"/>
          <w:szCs w:val="24"/>
        </w:rPr>
        <w:tab/>
      </w:r>
      <w:r w:rsidRPr="003859B8">
        <w:rPr>
          <w:rFonts w:ascii="Arial" w:hAnsi="Arial" w:cs="Arial"/>
          <w:szCs w:val="24"/>
        </w:rPr>
        <w:tab/>
      </w:r>
    </w:p>
    <w:sectPr w:rsidR="00BE6273" w:rsidRPr="003859B8" w:rsidSect="007D4643">
      <w:headerReference w:type="default" r:id="rId9"/>
      <w:footerReference w:type="default" r:id="rId10"/>
      <w:footerReference w:type="first" r:id="rId11"/>
      <w:pgSz w:w="12240" w:h="15840"/>
      <w:pgMar w:top="1417" w:right="1417" w:bottom="156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8E3FC" w14:textId="77777777" w:rsidR="002E7688" w:rsidRDefault="002E7688" w:rsidP="00C01C1A">
      <w:r>
        <w:separator/>
      </w:r>
    </w:p>
  </w:endnote>
  <w:endnote w:type="continuationSeparator" w:id="0">
    <w:p w14:paraId="60C2428B" w14:textId="77777777" w:rsidR="002E7688" w:rsidRDefault="002E7688" w:rsidP="00C0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-1324271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9C8A69" w14:textId="77777777" w:rsidR="000D049A" w:rsidRPr="00A249FC" w:rsidRDefault="00A249FC" w:rsidP="00A249FC">
        <w:pPr>
          <w:pStyle w:val="Footer"/>
          <w:rPr>
            <w:rFonts w:ascii="Arial" w:hAnsi="Arial" w:cs="Arial"/>
            <w:sz w:val="18"/>
            <w:szCs w:val="18"/>
          </w:rPr>
        </w:pPr>
        <w:r w:rsidRPr="00A249FC">
          <w:rPr>
            <w:rFonts w:ascii="Arial" w:hAnsi="Arial" w:cs="Arial"/>
            <w:color w:val="000000"/>
            <w:sz w:val="18"/>
            <w:szCs w:val="18"/>
          </w:rPr>
          <w:t xml:space="preserve">TBB / İstatistiki Raporlar / Proje Finansmanı İstatistikleri / </w:t>
        </w:r>
        <w:proofErr w:type="gramStart"/>
        <w:r w:rsidR="00BD2EB4">
          <w:rPr>
            <w:rFonts w:ascii="Arial" w:hAnsi="Arial" w:cs="Arial"/>
            <w:color w:val="000000"/>
            <w:sz w:val="18"/>
            <w:szCs w:val="18"/>
          </w:rPr>
          <w:t xml:space="preserve">Aralık </w:t>
        </w:r>
        <w:r w:rsidRPr="00A249FC">
          <w:rPr>
            <w:rFonts w:ascii="Arial" w:hAnsi="Arial" w:cs="Arial"/>
            <w:color w:val="000000"/>
            <w:sz w:val="18"/>
            <w:szCs w:val="18"/>
          </w:rPr>
          <w:t xml:space="preserve"> 202</w:t>
        </w:r>
        <w:r w:rsidR="00356C63">
          <w:rPr>
            <w:rFonts w:ascii="Arial" w:hAnsi="Arial" w:cs="Arial"/>
            <w:color w:val="000000"/>
            <w:sz w:val="18"/>
            <w:szCs w:val="18"/>
          </w:rPr>
          <w:t>4</w:t>
        </w:r>
        <w:proofErr w:type="gramEnd"/>
        <w:r>
          <w:rPr>
            <w:rFonts w:ascii="Arial" w:hAnsi="Arial" w:cs="Arial"/>
            <w:color w:val="000000"/>
            <w:sz w:val="18"/>
            <w:szCs w:val="18"/>
          </w:rPr>
          <w:t xml:space="preserve">                                                                        </w:t>
        </w:r>
        <w:r w:rsidRPr="00A249FC">
          <w:rPr>
            <w:rFonts w:ascii="Arial" w:hAnsi="Arial" w:cs="Arial"/>
            <w:color w:val="000000"/>
            <w:sz w:val="18"/>
            <w:szCs w:val="18"/>
          </w:rPr>
          <w:t xml:space="preserve"> </w:t>
        </w:r>
        <w:r w:rsidR="000D049A" w:rsidRPr="00A249FC">
          <w:rPr>
            <w:rFonts w:ascii="Arial" w:hAnsi="Arial" w:cs="Arial"/>
            <w:sz w:val="18"/>
            <w:szCs w:val="18"/>
          </w:rPr>
          <w:t>ii</w:t>
        </w:r>
      </w:p>
    </w:sdtContent>
  </w:sdt>
  <w:p w14:paraId="4C76DEDF" w14:textId="77777777" w:rsidR="00C01C1A" w:rsidRPr="00C01C1A" w:rsidRDefault="00C01C1A" w:rsidP="00C01C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-8177238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AA7ABB" w14:textId="77777777" w:rsidR="000D049A" w:rsidRPr="00A249FC" w:rsidRDefault="00A249FC" w:rsidP="00A249FC">
        <w:pPr>
          <w:pStyle w:val="Footer"/>
          <w:rPr>
            <w:rFonts w:ascii="Arial" w:hAnsi="Arial" w:cs="Arial"/>
            <w:sz w:val="18"/>
            <w:szCs w:val="18"/>
          </w:rPr>
        </w:pPr>
        <w:r w:rsidRPr="00A249FC">
          <w:rPr>
            <w:rFonts w:ascii="Arial" w:hAnsi="Arial" w:cs="Arial"/>
            <w:color w:val="000000"/>
            <w:sz w:val="18"/>
            <w:szCs w:val="18"/>
          </w:rPr>
          <w:t xml:space="preserve">TBB / İstatistiki Raporlar / Proje Finansmanı İstatistikleri / </w:t>
        </w:r>
        <w:r w:rsidR="00BD2EB4">
          <w:rPr>
            <w:rFonts w:ascii="Arial" w:hAnsi="Arial" w:cs="Arial"/>
            <w:color w:val="000000"/>
            <w:sz w:val="18"/>
            <w:szCs w:val="18"/>
          </w:rPr>
          <w:t>Aralık</w:t>
        </w:r>
        <w:r w:rsidRPr="00A249FC">
          <w:rPr>
            <w:rFonts w:ascii="Arial" w:hAnsi="Arial" w:cs="Arial"/>
            <w:color w:val="000000"/>
            <w:sz w:val="18"/>
            <w:szCs w:val="18"/>
          </w:rPr>
          <w:t xml:space="preserve"> 202</w:t>
        </w:r>
        <w:r w:rsidR="00356C63">
          <w:rPr>
            <w:rFonts w:ascii="Arial" w:hAnsi="Arial" w:cs="Arial"/>
            <w:color w:val="000000"/>
            <w:sz w:val="18"/>
            <w:szCs w:val="18"/>
          </w:rPr>
          <w:t>4</w:t>
        </w:r>
        <w:r w:rsidRPr="00A249FC">
          <w:rPr>
            <w:rFonts w:ascii="Arial" w:hAnsi="Arial" w:cs="Arial"/>
            <w:color w:val="000000"/>
            <w:sz w:val="18"/>
            <w:szCs w:val="18"/>
          </w:rPr>
          <w:t xml:space="preserve">                                                                        </w:t>
        </w:r>
        <w:r w:rsidR="000D049A" w:rsidRPr="00A249FC">
          <w:rPr>
            <w:rFonts w:ascii="Arial" w:hAnsi="Arial" w:cs="Arial"/>
            <w:sz w:val="18"/>
            <w:szCs w:val="18"/>
          </w:rPr>
          <w:t>i</w:t>
        </w:r>
      </w:p>
    </w:sdtContent>
  </w:sdt>
  <w:p w14:paraId="1533208B" w14:textId="77777777" w:rsidR="000D049A" w:rsidRDefault="000D04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8E602" w14:textId="77777777" w:rsidR="002E7688" w:rsidRDefault="002E7688" w:rsidP="00C01C1A">
      <w:r>
        <w:separator/>
      </w:r>
    </w:p>
  </w:footnote>
  <w:footnote w:type="continuationSeparator" w:id="0">
    <w:p w14:paraId="2FFF3187" w14:textId="77777777" w:rsidR="002E7688" w:rsidRDefault="002E7688" w:rsidP="00C01C1A">
      <w:r>
        <w:continuationSeparator/>
      </w:r>
    </w:p>
  </w:footnote>
  <w:footnote w:id="1">
    <w:p w14:paraId="250254D4" w14:textId="77777777" w:rsidR="00C01C1A" w:rsidRPr="00A42FC0" w:rsidRDefault="00C01C1A" w:rsidP="00C01C1A">
      <w:pPr>
        <w:pStyle w:val="FootnoteText"/>
        <w:rPr>
          <w:rFonts w:ascii="Arial" w:hAnsi="Arial" w:cs="Arial"/>
          <w:sz w:val="18"/>
          <w:szCs w:val="18"/>
        </w:rPr>
      </w:pPr>
      <w:r w:rsidRPr="001A5EBC">
        <w:rPr>
          <w:rStyle w:val="FootnoteReference"/>
          <w:rFonts w:ascii="Arial" w:hAnsi="Arial" w:cs="Arial"/>
          <w:sz w:val="18"/>
          <w:szCs w:val="18"/>
        </w:rPr>
        <w:footnoteRef/>
      </w:r>
      <w:r w:rsidRPr="001A5EBC">
        <w:rPr>
          <w:rFonts w:ascii="Arial" w:hAnsi="Arial" w:cs="Arial"/>
          <w:sz w:val="18"/>
          <w:szCs w:val="18"/>
        </w:rPr>
        <w:t xml:space="preserve"> Mevduat bankaları ile kalkınma ve yatırım bankalarını kapsamaktadır.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BA21C" w14:textId="77777777" w:rsidR="00C01C1A" w:rsidRDefault="00C01C1A">
    <w:pPr>
      <w:pStyle w:val="Header"/>
    </w:pPr>
    <w:r>
      <w:rPr>
        <w:noProof/>
        <w:lang w:eastAsia="tr-TR"/>
      </w:rPr>
      <w:drawing>
        <wp:anchor distT="0" distB="0" distL="114300" distR="114300" simplePos="0" relativeHeight="251667968" behindDoc="0" locked="0" layoutInCell="1" allowOverlap="1" wp14:anchorId="16B1D5D5" wp14:editId="3F651C7A">
          <wp:simplePos x="0" y="0"/>
          <wp:positionH relativeFrom="page">
            <wp:posOffset>6461760</wp:posOffset>
          </wp:positionH>
          <wp:positionV relativeFrom="page">
            <wp:posOffset>320040</wp:posOffset>
          </wp:positionV>
          <wp:extent cx="1012190" cy="998220"/>
          <wp:effectExtent l="0" t="0" r="0" b="0"/>
          <wp:wrapSquare wrapText="bothSides"/>
          <wp:docPr id="30" name="Picture 30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695"/>
    <w:rsid w:val="000124D1"/>
    <w:rsid w:val="0002792C"/>
    <w:rsid w:val="00032307"/>
    <w:rsid w:val="00035979"/>
    <w:rsid w:val="0009062E"/>
    <w:rsid w:val="000A0D0C"/>
    <w:rsid w:val="000B098A"/>
    <w:rsid w:val="000D049A"/>
    <w:rsid w:val="000D4AF0"/>
    <w:rsid w:val="00105A66"/>
    <w:rsid w:val="00125403"/>
    <w:rsid w:val="00162A09"/>
    <w:rsid w:val="00184EA0"/>
    <w:rsid w:val="001B4CF1"/>
    <w:rsid w:val="001C0104"/>
    <w:rsid w:val="001F7A18"/>
    <w:rsid w:val="0020034F"/>
    <w:rsid w:val="00213F5B"/>
    <w:rsid w:val="00217567"/>
    <w:rsid w:val="00237D88"/>
    <w:rsid w:val="00242371"/>
    <w:rsid w:val="002A5C91"/>
    <w:rsid w:val="002C5AE8"/>
    <w:rsid w:val="002D0092"/>
    <w:rsid w:val="002E2695"/>
    <w:rsid w:val="002E7688"/>
    <w:rsid w:val="00315D1B"/>
    <w:rsid w:val="00320EE1"/>
    <w:rsid w:val="00327C66"/>
    <w:rsid w:val="0034343F"/>
    <w:rsid w:val="00356C63"/>
    <w:rsid w:val="0036276B"/>
    <w:rsid w:val="00370AA8"/>
    <w:rsid w:val="003859B8"/>
    <w:rsid w:val="003A44E8"/>
    <w:rsid w:val="003C3773"/>
    <w:rsid w:val="003E6E70"/>
    <w:rsid w:val="004101A5"/>
    <w:rsid w:val="004271FE"/>
    <w:rsid w:val="00442468"/>
    <w:rsid w:val="00447C61"/>
    <w:rsid w:val="00451C72"/>
    <w:rsid w:val="004B4C70"/>
    <w:rsid w:val="004E7276"/>
    <w:rsid w:val="005324B6"/>
    <w:rsid w:val="0055168A"/>
    <w:rsid w:val="005F3050"/>
    <w:rsid w:val="00615AEF"/>
    <w:rsid w:val="006576EB"/>
    <w:rsid w:val="0068354D"/>
    <w:rsid w:val="006D4A21"/>
    <w:rsid w:val="00754102"/>
    <w:rsid w:val="00793663"/>
    <w:rsid w:val="007C1FFD"/>
    <w:rsid w:val="007D4643"/>
    <w:rsid w:val="007D5CA2"/>
    <w:rsid w:val="008749ED"/>
    <w:rsid w:val="00877B36"/>
    <w:rsid w:val="008B1DD2"/>
    <w:rsid w:val="008C4365"/>
    <w:rsid w:val="008C4B10"/>
    <w:rsid w:val="0093088C"/>
    <w:rsid w:val="00933884"/>
    <w:rsid w:val="00944086"/>
    <w:rsid w:val="009A0E69"/>
    <w:rsid w:val="009B27EE"/>
    <w:rsid w:val="009D6D78"/>
    <w:rsid w:val="009D762C"/>
    <w:rsid w:val="009E4456"/>
    <w:rsid w:val="00A249FC"/>
    <w:rsid w:val="00A45993"/>
    <w:rsid w:val="00A65AEB"/>
    <w:rsid w:val="00A67AE2"/>
    <w:rsid w:val="00A756EE"/>
    <w:rsid w:val="00A973B1"/>
    <w:rsid w:val="00AC5926"/>
    <w:rsid w:val="00B1703D"/>
    <w:rsid w:val="00B3626F"/>
    <w:rsid w:val="00B55E40"/>
    <w:rsid w:val="00BD2EB4"/>
    <w:rsid w:val="00BE6273"/>
    <w:rsid w:val="00BF3D63"/>
    <w:rsid w:val="00C01C1A"/>
    <w:rsid w:val="00C03D46"/>
    <w:rsid w:val="00C8593F"/>
    <w:rsid w:val="00CA2F6F"/>
    <w:rsid w:val="00CA79EC"/>
    <w:rsid w:val="00CB1029"/>
    <w:rsid w:val="00CB4D3E"/>
    <w:rsid w:val="00CC75E3"/>
    <w:rsid w:val="00CF2447"/>
    <w:rsid w:val="00CF53EE"/>
    <w:rsid w:val="00D156D4"/>
    <w:rsid w:val="00D545AE"/>
    <w:rsid w:val="00D55DAA"/>
    <w:rsid w:val="00DC1433"/>
    <w:rsid w:val="00DF217A"/>
    <w:rsid w:val="00E1379E"/>
    <w:rsid w:val="00E27145"/>
    <w:rsid w:val="00E27228"/>
    <w:rsid w:val="00E33825"/>
    <w:rsid w:val="00E45664"/>
    <w:rsid w:val="00E673ED"/>
    <w:rsid w:val="00ED115C"/>
    <w:rsid w:val="00F2611F"/>
    <w:rsid w:val="00F32369"/>
    <w:rsid w:val="00F5200B"/>
    <w:rsid w:val="00F52022"/>
    <w:rsid w:val="00F943CC"/>
    <w:rsid w:val="00FA6CEB"/>
    <w:rsid w:val="00FB2D60"/>
    <w:rsid w:val="00FB6BE7"/>
    <w:rsid w:val="00FF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41F83"/>
  <w15:docId w15:val="{928BBC0D-434F-4D40-83BC-E39080AB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C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C1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C1A"/>
  </w:style>
  <w:style w:type="paragraph" w:styleId="Footer">
    <w:name w:val="footer"/>
    <w:basedOn w:val="Normal"/>
    <w:link w:val="FooterChar"/>
    <w:uiPriority w:val="99"/>
    <w:unhideWhenUsed/>
    <w:rsid w:val="00C01C1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C1A"/>
  </w:style>
  <w:style w:type="paragraph" w:styleId="BodyText">
    <w:name w:val="Body Text"/>
    <w:basedOn w:val="Normal"/>
    <w:link w:val="BodyTextChar"/>
    <w:rsid w:val="00C01C1A"/>
    <w:pPr>
      <w:jc w:val="both"/>
    </w:pPr>
  </w:style>
  <w:style w:type="character" w:customStyle="1" w:styleId="BodyTextChar">
    <w:name w:val="Body Text Char"/>
    <w:basedOn w:val="DefaultParagraphFont"/>
    <w:link w:val="BodyText"/>
    <w:rsid w:val="00C01C1A"/>
    <w:rPr>
      <w:rFonts w:ascii="Times New Roman" w:eastAsia="Times New Roman" w:hAnsi="Times New Roman" w:cs="Times New Roman"/>
      <w:sz w:val="24"/>
      <w:szCs w:val="20"/>
      <w:lang w:val="tr-TR"/>
    </w:rPr>
  </w:style>
  <w:style w:type="paragraph" w:styleId="Title">
    <w:name w:val="Title"/>
    <w:basedOn w:val="Normal"/>
    <w:link w:val="TitleChar"/>
    <w:qFormat/>
    <w:rsid w:val="00C01C1A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C01C1A"/>
    <w:rPr>
      <w:rFonts w:ascii="Times New Roman" w:eastAsia="Times New Roman" w:hAnsi="Times New Roman" w:cs="Times New Roman"/>
      <w:b/>
      <w:sz w:val="24"/>
      <w:szCs w:val="20"/>
      <w:lang w:val="tr-TR"/>
    </w:rPr>
  </w:style>
  <w:style w:type="paragraph" w:styleId="FootnoteText">
    <w:name w:val="footnote text"/>
    <w:basedOn w:val="Normal"/>
    <w:link w:val="FootnoteTextChar"/>
    <w:semiHidden/>
    <w:rsid w:val="00C01C1A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01C1A"/>
    <w:rPr>
      <w:rFonts w:ascii="Times New Roman" w:eastAsia="Times New Roman" w:hAnsi="Times New Roman" w:cs="Times New Roman"/>
      <w:sz w:val="20"/>
      <w:szCs w:val="20"/>
      <w:lang w:val="tr-TR"/>
    </w:rPr>
  </w:style>
  <w:style w:type="character" w:styleId="FootnoteReference">
    <w:name w:val="footnote reference"/>
    <w:semiHidden/>
    <w:rsid w:val="00C01C1A"/>
    <w:rPr>
      <w:vertAlign w:val="superscript"/>
    </w:rPr>
  </w:style>
  <w:style w:type="table" w:styleId="TableGrid">
    <w:name w:val="Table Grid"/>
    <w:basedOn w:val="TableNormal"/>
    <w:uiPriority w:val="39"/>
    <w:rsid w:val="00C01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F323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51">
    <w:name w:val="Plain Table 51"/>
    <w:basedOn w:val="TableNormal"/>
    <w:uiPriority w:val="45"/>
    <w:rsid w:val="00B3626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0B09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B098A"/>
    <w:rPr>
      <w:rFonts w:eastAsiaTheme="minorEastAsia"/>
      <w:color w:val="5A5A5A" w:themeColor="text1" w:themeTint="A5"/>
      <w:spacing w:val="15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7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Proje%20Finansman\PF&#304;-%20Aral&#305;k%202024\Aral&#305;k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Proje%20Finansman\PF&#304;-%20Aral&#305;k%202024\Aral&#305;k%20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Sheet3!$H$1</c:f>
              <c:strCache>
                <c:ptCount val="1"/>
                <c:pt idx="0">
                  <c:v>Milyar TL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Sheet3!$G$7:$G$10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Sheet3!$H$7:$H$10</c:f>
              <c:numCache>
                <c:formatCode>#,##0</c:formatCode>
                <c:ptCount val="4"/>
                <c:pt idx="0">
                  <c:v>803.74950000000001</c:v>
                </c:pt>
                <c:pt idx="1">
                  <c:v>1044.9746</c:v>
                </c:pt>
                <c:pt idx="2">
                  <c:v>1498.6123</c:v>
                </c:pt>
                <c:pt idx="3">
                  <c:v>1622.6438000000001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AB-4CBD-B417-4CCB5A08DA9A}"/>
            </c:ext>
          </c:extLst>
        </c:ser>
        <c:ser>
          <c:idx val="1"/>
          <c:order val="1"/>
          <c:tx>
            <c:strRef>
              <c:f>Sheet3!$I$1</c:f>
              <c:strCache>
                <c:ptCount val="1"/>
                <c:pt idx="0">
                  <c:v>Milyar dolar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Sheet3!$G$7:$G$10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Sheet3!$I$7:$I$10</c:f>
              <c:numCache>
                <c:formatCode>#,##0</c:formatCode>
                <c:ptCount val="4"/>
                <c:pt idx="0">
                  <c:v>60.300810263335578</c:v>
                </c:pt>
                <c:pt idx="1">
                  <c:v>84.57505227747977</c:v>
                </c:pt>
                <c:pt idx="2">
                  <c:v>50.903950407608697</c:v>
                </c:pt>
                <c:pt idx="3" formatCode="0">
                  <c:v>45.967246458923519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AB-4CBD-B417-4CCB5A08DA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623488"/>
        <c:axId val="144625024"/>
      </c:barChart>
      <c:catAx>
        <c:axId val="144623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4625024"/>
        <c:crosses val="autoZero"/>
        <c:auto val="1"/>
        <c:lblAlgn val="ctr"/>
        <c:lblOffset val="100"/>
        <c:noMultiLvlLbl val="0"/>
      </c:catAx>
      <c:valAx>
        <c:axId val="144625024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144623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042720309311984"/>
          <c:y val="9.4907347107927281E-2"/>
          <c:w val="0.4823570780697487"/>
          <c:h val="0.86896808951512616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Nakdi</c:v>
                </c:pt>
              </c:strCache>
            </c:strRef>
          </c:tx>
          <c:dPt>
            <c:idx val="0"/>
            <c:bubble3D val="0"/>
            <c:spPr>
              <a:solidFill>
                <a:srgbClr val="0000CC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44CA-4125-BB95-21E158630EDC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4CA-4125-BB95-21E158630ED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4CA-4125-BB95-21E158630EDC}"/>
              </c:ext>
            </c:extLst>
          </c:dPt>
          <c:dPt>
            <c:idx val="3"/>
            <c:bubble3D val="0"/>
            <c:spPr>
              <a:solidFill>
                <a:schemeClr val="bg2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4CA-4125-BB95-21E158630EDC}"/>
              </c:ext>
            </c:extLst>
          </c:dPt>
          <c:dLbls>
            <c:dLbl>
              <c:idx val="0"/>
              <c:layout>
                <c:manualLayout>
                  <c:x val="3.8362713008119394E-2"/>
                  <c:y val="-6.9466316710411202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4CA-4125-BB95-21E158630EDC}"/>
                </c:ext>
              </c:extLst>
            </c:dLbl>
            <c:dLbl>
              <c:idx val="1"/>
              <c:layout>
                <c:manualLayout>
                  <c:x val="-0.17921272987788045"/>
                  <c:y val="-3.8596885915576529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4CA-4125-BB95-21E158630EDC}"/>
                </c:ext>
              </c:extLst>
            </c:dLbl>
            <c:dLbl>
              <c:idx val="2"/>
              <c:layout>
                <c:manualLayout>
                  <c:x val="-1.6228271966838868E-2"/>
                  <c:y val="-2.5081113739706305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4CA-4125-BB95-21E158630EDC}"/>
                </c:ext>
              </c:extLst>
            </c:dLbl>
            <c:dLbl>
              <c:idx val="3"/>
              <c:layout>
                <c:manualLayout>
                  <c:x val="-5.5792352959218992E-2"/>
                  <c:y val="6.336758353636289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4CA-4125-BB95-21E158630ED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Enerji </c:v>
                </c:pt>
                <c:pt idx="1">
                  <c:v>Altyapı</c:v>
                </c:pt>
                <c:pt idx="2">
                  <c:v>Ticari Gayrimenkul</c:v>
                </c:pt>
                <c:pt idx="3">
                  <c:v>Diğer </c:v>
                </c:pt>
              </c:strCache>
            </c:strRef>
          </c:cat>
          <c:val>
            <c:numRef>
              <c:f>Sheet1!$B$2:$B$5</c:f>
              <c:numCache>
                <c:formatCode>#,##0</c:formatCode>
                <c:ptCount val="4"/>
                <c:pt idx="0">
                  <c:v>498</c:v>
                </c:pt>
                <c:pt idx="1">
                  <c:v>554</c:v>
                </c:pt>
                <c:pt idx="2">
                  <c:v>177</c:v>
                </c:pt>
                <c:pt idx="3">
                  <c:v>279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4CA-4125-BB95-21E158630E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4E585-7630-480A-B4D2-4485E4FCB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TBB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Güneş Taş Memiş</dc:creator>
  <cp:lastModifiedBy>Güneş Taş Memiş</cp:lastModifiedBy>
  <cp:revision>5</cp:revision>
  <cp:lastPrinted>2024-02-16T13:04:00Z</cp:lastPrinted>
  <dcterms:created xsi:type="dcterms:W3CDTF">2025-02-26T06:42:00Z</dcterms:created>
  <dcterms:modified xsi:type="dcterms:W3CDTF">2025-02-26T07:48:00Z</dcterms:modified>
</cp:coreProperties>
</file>