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6335" w14:textId="77777777" w:rsidR="00DD0655" w:rsidRPr="00D93507" w:rsidRDefault="00874B66" w:rsidP="00AF23C4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D93507">
        <w:rPr>
          <w:rFonts w:ascii="Arial" w:hAnsi="Arial" w:cs="Arial"/>
          <w:sz w:val="28"/>
          <w:szCs w:val="28"/>
          <w:lang w:val="en-US"/>
        </w:rPr>
        <w:t>Employees and Branches</w:t>
      </w:r>
    </w:p>
    <w:p w14:paraId="2460B090" w14:textId="77777777" w:rsidR="00EC6DE3" w:rsidRPr="00D93507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>i</w:t>
      </w:r>
      <w:r w:rsidR="00DD0655" w:rsidRPr="00D93507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D93507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D9350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C6242A8" w14:textId="77777777" w:rsidR="007978EA" w:rsidRPr="004E011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0A3DF4D" w14:textId="49A94583" w:rsidR="00C3793B" w:rsidRPr="004E0114" w:rsidRDefault="000C703E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4E0114">
        <w:rPr>
          <w:rFonts w:ascii="Arial" w:hAnsi="Arial" w:cs="Arial"/>
          <w:color w:val="000000" w:themeColor="text1"/>
          <w:szCs w:val="24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Cs w:val="24"/>
          <w:lang w:val="en-US"/>
        </w:rPr>
        <w:t xml:space="preserve"> 2024</w:t>
      </w:r>
    </w:p>
    <w:p w14:paraId="39BA769F" w14:textId="77777777" w:rsidR="00C3793B" w:rsidRPr="004E0114" w:rsidRDefault="00C3793B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41658FF2" w14:textId="77777777" w:rsidR="007978EA" w:rsidRPr="004E0114" w:rsidRDefault="007978EA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70501D1D" w14:textId="77777777" w:rsidR="00EC6DE3" w:rsidRPr="004E0114" w:rsidRDefault="00A27B2E" w:rsidP="00B07B3D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t>Number of Banks</w:t>
      </w:r>
    </w:p>
    <w:p w14:paraId="4C79D872" w14:textId="77777777" w:rsidR="00EC6DE3" w:rsidRPr="004E0114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color w:val="000000" w:themeColor="text1"/>
          <w:sz w:val="12"/>
          <w:szCs w:val="12"/>
        </w:rPr>
      </w:pPr>
    </w:p>
    <w:p w14:paraId="79717171" w14:textId="1F518D64" w:rsidR="00F74E30" w:rsidRPr="00D93507" w:rsidRDefault="00EC6DE3" w:rsidP="00A25F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banks was</w:t>
      </w:r>
      <w:r w:rsidR="003023F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25F9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7</w:t>
      </w:r>
      <w:r w:rsidR="006E45E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="00F21E0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with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8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deposit banks group and </w:t>
      </w:r>
      <w:r w:rsidR="00A25F9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, w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also </w:t>
      </w:r>
      <w:r w:rsidR="00A25F9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9 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participation banks.</w:t>
      </w:r>
      <w:r w:rsidR="00844EE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E0114" w:rsidRPr="004E0114">
        <w:rPr>
          <w:rFonts w:ascii="Arial" w:hAnsi="Arial" w:cs="Arial"/>
          <w:sz w:val="22"/>
          <w:szCs w:val="22"/>
          <w:lang w:val="en-US"/>
        </w:rPr>
        <w:t>With the decision of the Banking Regulation and Supervision Agency, “Ziraat Dinamik Banka A.Ş.” (digital) bank and “Colendi Bank A.Ş.” (digital) deposit bank were licensed to operate.</w:t>
      </w:r>
    </w:p>
    <w:p w14:paraId="1019E8B3" w14:textId="77777777" w:rsidR="00A25F98" w:rsidRPr="00D93507" w:rsidRDefault="00A25F98" w:rsidP="00A25F9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D00DD30" w14:textId="77777777" w:rsidR="00EC6DE3" w:rsidRPr="00D93507" w:rsidRDefault="00996DEE" w:rsidP="004B4BF5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lang w:val="en-US"/>
        </w:rPr>
        <w:t>N</w:t>
      </w:r>
      <w:r w:rsidR="00EC6DE3" w:rsidRPr="00D93507">
        <w:rPr>
          <w:rFonts w:ascii="Arial" w:hAnsi="Arial" w:cs="Arial"/>
          <w:lang w:val="en-US"/>
        </w:rPr>
        <w:t>umber of B</w:t>
      </w:r>
      <w:r w:rsidR="00982ADE" w:rsidRPr="00D93507">
        <w:rPr>
          <w:rFonts w:ascii="Arial" w:hAnsi="Arial" w:cs="Arial"/>
          <w:lang w:val="en-US"/>
        </w:rPr>
        <w:t>anks in the System</w:t>
      </w:r>
    </w:p>
    <w:p w14:paraId="35326330" w14:textId="14A948BC" w:rsidR="00AE7B4B" w:rsidRPr="00D93507" w:rsidRDefault="000C703E" w:rsidP="004E0114">
      <w:pPr>
        <w:rPr>
          <w:rFonts w:ascii="Arial" w:hAnsi="Arial" w:cs="Arial"/>
          <w:b/>
          <w:sz w:val="22"/>
          <w:szCs w:val="22"/>
          <w:lang w:val="en-US"/>
        </w:rPr>
      </w:pPr>
      <w:r w:rsidRPr="004E0114">
        <w:rPr>
          <w:noProof/>
          <w:lang w:eastAsia="tr-TR"/>
        </w:rPr>
        <w:drawing>
          <wp:inline distT="0" distB="0" distL="0" distR="0" wp14:anchorId="3D580CA5" wp14:editId="4613EDD8">
            <wp:extent cx="5381913" cy="1288473"/>
            <wp:effectExtent l="0" t="0" r="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13FFBA" w14:textId="77777777" w:rsidR="00EC6DE3" w:rsidRPr="00D93507" w:rsidRDefault="003825FF" w:rsidP="00FC4EA3">
      <w:pPr>
        <w:rPr>
          <w:rFonts w:ascii="Arial" w:hAnsi="Arial" w:cs="Arial"/>
          <w:sz w:val="16"/>
          <w:szCs w:val="16"/>
          <w:lang w:val="en-US"/>
        </w:rPr>
      </w:pPr>
      <w:r w:rsidRPr="00D93507">
        <w:rPr>
          <w:rFonts w:ascii="Arial" w:hAnsi="Arial" w:cs="Arial"/>
          <w:i/>
          <w:sz w:val="16"/>
          <w:lang w:val="en-US"/>
        </w:rPr>
        <w:t xml:space="preserve">* </w:t>
      </w:r>
      <w:r w:rsidR="00EC6DE3" w:rsidRPr="00D93507">
        <w:rPr>
          <w:rFonts w:ascii="Arial" w:hAnsi="Arial" w:cs="Arial"/>
          <w:i/>
          <w:sz w:val="16"/>
          <w:lang w:val="en-US"/>
        </w:rPr>
        <w:t>Banks under the Deposit Insurance Fund</w:t>
      </w:r>
    </w:p>
    <w:p w14:paraId="3F4673DD" w14:textId="77777777" w:rsidR="008835CB" w:rsidRPr="00D93507" w:rsidRDefault="008835CB" w:rsidP="008835CB">
      <w:pPr>
        <w:jc w:val="both"/>
        <w:rPr>
          <w:rFonts w:ascii="Arial" w:hAnsi="Arial" w:cs="Arial"/>
          <w:sz w:val="12"/>
          <w:szCs w:val="12"/>
          <w:lang w:val="en-US"/>
        </w:rPr>
      </w:pPr>
    </w:p>
    <w:p w14:paraId="49BB1818" w14:textId="1D7F1AB1" w:rsidR="00EC6DE3" w:rsidRPr="00D93507" w:rsidRDefault="003F6C5A" w:rsidP="003F6C5A">
      <w:pPr>
        <w:pStyle w:val="Subtitle"/>
        <w:rPr>
          <w:rFonts w:cs="Arial"/>
          <w:lang w:val="en-US"/>
        </w:rPr>
      </w:pPr>
      <w:r w:rsidRPr="00D93507">
        <w:rPr>
          <w:rFonts w:cs="Arial"/>
          <w:lang w:val="en-US"/>
        </w:rPr>
        <w:t xml:space="preserve">Number of </w:t>
      </w:r>
      <w:r w:rsidR="000337BF" w:rsidRPr="00D93507">
        <w:rPr>
          <w:rFonts w:cs="Arial"/>
          <w:lang w:val="en-US"/>
        </w:rPr>
        <w:t>E</w:t>
      </w:r>
      <w:r w:rsidR="00EC6DE3" w:rsidRPr="00D93507">
        <w:rPr>
          <w:rFonts w:cs="Arial"/>
          <w:lang w:val="en-US"/>
        </w:rPr>
        <w:t>mployees</w:t>
      </w:r>
      <w:r w:rsidRPr="00D93507">
        <w:rPr>
          <w:rFonts w:cs="Arial"/>
          <w:lang w:val="en-US"/>
        </w:rPr>
        <w:t xml:space="preserve"> </w:t>
      </w:r>
    </w:p>
    <w:p w14:paraId="2998211E" w14:textId="77777777" w:rsidR="0066600F" w:rsidRPr="00D93507" w:rsidRDefault="0066600F" w:rsidP="003F6C5A">
      <w:pPr>
        <w:pStyle w:val="Subtitle"/>
        <w:rPr>
          <w:rFonts w:cs="Arial"/>
          <w:sz w:val="12"/>
          <w:szCs w:val="12"/>
          <w:lang w:val="en-US"/>
        </w:rPr>
      </w:pPr>
    </w:p>
    <w:p w14:paraId="4C3B51EA" w14:textId="76D290E1" w:rsidR="000F7651" w:rsidRPr="004E0114" w:rsidRDefault="006A0843" w:rsidP="00B61AF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187,9</w:t>
      </w:r>
      <w:r w:rsidR="00C64C84">
        <w:rPr>
          <w:rFonts w:ascii="Arial" w:hAnsi="Arial" w:cs="Arial"/>
          <w:color w:val="000000" w:themeColor="text1"/>
          <w:sz w:val="22"/>
          <w:szCs w:val="22"/>
          <w:lang w:val="en-US"/>
        </w:rPr>
        <w:t>11</w:t>
      </w:r>
      <w:r w:rsidR="0046559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A3E64A6" w14:textId="77777777" w:rsidR="00C405D2" w:rsidRPr="004E0114" w:rsidRDefault="00C405D2" w:rsidP="00E727B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191A36" w14:textId="69FA6922" w:rsidR="00E727B2" w:rsidRPr="004E0114" w:rsidRDefault="00E727B2" w:rsidP="00E727B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number of employees </w:t>
      </w:r>
      <w:r w:rsidR="00AF23C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decreased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65</w:t>
      </w:r>
      <w:r w:rsidR="00C64C84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 compared to previous quarter 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 w:rsidR="00F7593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it </w:t>
      </w:r>
      <w:r w:rsidR="00C405D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decreased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1,19</w:t>
      </w:r>
      <w:r w:rsidR="00C64C84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="00B83D9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to</w:t>
      </w:r>
      <w:r w:rsidR="00C0316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2B25A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2023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4A7E35" w:rsidRPr="004E0114">
        <w:rPr>
          <w:rFonts w:ascii="Arial" w:hAnsi="Arial" w:cs="Arial"/>
          <w:color w:val="000000" w:themeColor="text1"/>
        </w:rPr>
        <w:t xml:space="preserve"> </w:t>
      </w:r>
    </w:p>
    <w:p w14:paraId="560F7E6E" w14:textId="77777777" w:rsidR="007C0858" w:rsidRPr="004E0114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B72229F" w14:textId="0880E624" w:rsidR="007C0858" w:rsidRPr="004E0114" w:rsidRDefault="00FF63FD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Compared to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2023, t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 number of employees </w:t>
      </w:r>
      <w:r w:rsidR="00C405D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decreased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C405D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1,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403</w:t>
      </w:r>
      <w:r w:rsidR="00AF23C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deposit banks and </w:t>
      </w:r>
      <w:r w:rsidR="00F7593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it increased 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C64C84">
        <w:rPr>
          <w:rFonts w:ascii="Arial" w:hAnsi="Arial" w:cs="Arial"/>
          <w:color w:val="000000" w:themeColor="text1"/>
          <w:sz w:val="22"/>
          <w:szCs w:val="22"/>
          <w:lang w:val="en-US"/>
        </w:rPr>
        <w:t>7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development and investment banks. </w:t>
      </w:r>
    </w:p>
    <w:p w14:paraId="54A6ED60" w14:textId="77777777" w:rsidR="000F7651" w:rsidRPr="004E0114" w:rsidRDefault="000F7651" w:rsidP="009B41D0">
      <w:pPr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2ED5DE2" w14:textId="1993DF8C" w:rsidR="005421C0" w:rsidRPr="00D93507" w:rsidRDefault="006F1D37" w:rsidP="000B6A69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lang w:val="en-US"/>
        </w:rPr>
        <w:t>Number of Employees</w:t>
      </w:r>
      <w:r w:rsidR="000F5F1A" w:rsidRPr="00D93507">
        <w:rPr>
          <w:rFonts w:ascii="Arial" w:hAnsi="Arial" w:cs="Arial"/>
          <w:lang w:val="en-US"/>
        </w:rPr>
        <w:t xml:space="preserve"> </w:t>
      </w:r>
      <w:r w:rsidR="007365E1" w:rsidRPr="00D93507">
        <w:rPr>
          <w:rFonts w:ascii="Arial" w:hAnsi="Arial" w:cs="Arial"/>
          <w:lang w:val="en-US"/>
        </w:rPr>
        <w:t>(</w:t>
      </w:r>
      <w:r w:rsidR="00AF23C4" w:rsidRPr="00D93507">
        <w:rPr>
          <w:rFonts w:ascii="Arial" w:hAnsi="Arial" w:cs="Arial"/>
          <w:bCs/>
          <w:lang w:val="en-US"/>
        </w:rPr>
        <w:t>thousand people</w:t>
      </w:r>
      <w:r w:rsidR="00E06A4C" w:rsidRPr="00D93507">
        <w:rPr>
          <w:rFonts w:ascii="Arial" w:hAnsi="Arial" w:cs="Arial"/>
          <w:lang w:val="en-US"/>
        </w:rPr>
        <w:t>)</w:t>
      </w:r>
    </w:p>
    <w:p w14:paraId="58C5A45D" w14:textId="4124FA19" w:rsidR="004E0114" w:rsidRDefault="0061659E" w:rsidP="004E0114">
      <w:pPr>
        <w:jc w:val="center"/>
        <w:rPr>
          <w:rFonts w:ascii="Arial" w:hAnsi="Arial" w:cs="Arial"/>
          <w:color w:val="ED7D31" w:themeColor="accent2"/>
          <w:szCs w:val="22"/>
          <w:lang w:val="en-US"/>
        </w:rPr>
      </w:pPr>
      <w:r w:rsidRPr="0061659E">
        <w:rPr>
          <w:rFonts w:ascii="Arial" w:hAnsi="Arial" w:cs="Arial"/>
          <w:noProof/>
          <w:color w:val="ED7D31" w:themeColor="accent2"/>
          <w:szCs w:val="22"/>
          <w:lang w:val="en-US"/>
        </w:rPr>
        <w:drawing>
          <wp:inline distT="0" distB="0" distL="0" distR="0" wp14:anchorId="429B666D" wp14:editId="62D41DB9">
            <wp:extent cx="3458845" cy="2059157"/>
            <wp:effectExtent l="0" t="0" r="8255" b="0"/>
            <wp:docPr id="1699836792" name="Picture 1" descr="A graph of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36792" name="Picture 1" descr="A graph of number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4917" cy="206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8553" w14:textId="77777777" w:rsidR="0061659E" w:rsidRDefault="0061659E" w:rsidP="004E0114">
      <w:pPr>
        <w:rPr>
          <w:rFonts w:ascii="Arial" w:hAnsi="Arial" w:cs="Arial"/>
          <w:color w:val="ED7D31" w:themeColor="accent2"/>
          <w:szCs w:val="22"/>
          <w:lang w:val="en-US"/>
        </w:rPr>
      </w:pPr>
    </w:p>
    <w:p w14:paraId="111A0647" w14:textId="06E37FC6" w:rsidR="00425999" w:rsidRPr="004E0114" w:rsidRDefault="00300FE4" w:rsidP="004E0114">
      <w:pPr>
        <w:rPr>
          <w:rFonts w:ascii="Arial" w:hAnsi="Arial" w:cs="Arial"/>
          <w:b/>
          <w:bCs/>
          <w:noProof/>
          <w:color w:val="000000" w:themeColor="text1"/>
        </w:rPr>
      </w:pPr>
      <w:r w:rsidRPr="004E0114">
        <w:rPr>
          <w:rFonts w:ascii="Arial" w:hAnsi="Arial" w:cs="Arial"/>
          <w:b/>
          <w:bCs/>
          <w:color w:val="000000" w:themeColor="text1"/>
          <w:szCs w:val="22"/>
          <w:lang w:val="en-US"/>
        </w:rPr>
        <w:lastRenderedPageBreak/>
        <w:t xml:space="preserve">Bank </w:t>
      </w:r>
      <w:r w:rsidRPr="004E0114">
        <w:rPr>
          <w:rFonts w:ascii="Arial" w:hAnsi="Arial" w:cs="Arial"/>
          <w:b/>
          <w:bCs/>
          <w:color w:val="000000" w:themeColor="text1"/>
          <w:lang w:val="en-US"/>
        </w:rPr>
        <w:t xml:space="preserve">Employees by Gender and </w:t>
      </w:r>
      <w:r w:rsidR="00425999" w:rsidRPr="004E0114">
        <w:rPr>
          <w:rFonts w:ascii="Arial" w:hAnsi="Arial" w:cs="Arial"/>
          <w:b/>
          <w:bCs/>
          <w:color w:val="000000" w:themeColor="text1"/>
          <w:lang w:val="en-US"/>
        </w:rPr>
        <w:t xml:space="preserve">Education Level </w:t>
      </w:r>
    </w:p>
    <w:p w14:paraId="2E6F9D66" w14:textId="77777777" w:rsidR="00425999" w:rsidRPr="004E0114" w:rsidRDefault="00425999" w:rsidP="001E1244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0AF61019" w14:textId="269CA887" w:rsidR="00300FE4" w:rsidRPr="004E0114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2024</w:t>
      </w:r>
      <w:r w:rsidR="00B93CF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</w:t>
      </w:r>
      <w:r w:rsidR="00E727B2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51.2</w:t>
      </w:r>
      <w:r w:rsidR="001B1AA9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</w:t>
      </w:r>
      <w:r w:rsidR="00FB05FA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and </w:t>
      </w:r>
      <w:r w:rsidR="000C703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48.8</w:t>
      </w:r>
      <w:r w:rsidR="00B93CF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percent were male, </w:t>
      </w:r>
      <w:r w:rsidR="00300FE4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regarding the distribution of bank employees by gender. </w:t>
      </w:r>
    </w:p>
    <w:p w14:paraId="1CD451D8" w14:textId="77777777" w:rsidR="00300FE4" w:rsidRPr="004E0114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14:paraId="44BA3E1E" w14:textId="50B3329E" w:rsidR="00D93507" w:rsidRPr="004E0114" w:rsidRDefault="001E1244" w:rsidP="001E1244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2034F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</w:t>
      </w:r>
      <w:r w:rsidR="003D3BA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2034F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04E011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10 </w:t>
      </w:r>
      <w:r w:rsidR="00116F1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percent in postgraduate degrees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as of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This </w:t>
      </w:r>
      <w:r w:rsidR="00220ED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share of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20ED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high-school graduates was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034F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20ED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</w:t>
      </w:r>
      <w:r w:rsidR="003D3BA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AFF29C1" w14:textId="77777777" w:rsidR="001E1244" w:rsidRPr="00D93507" w:rsidRDefault="001E1244" w:rsidP="00FA7FDA">
      <w:pPr>
        <w:rPr>
          <w:rFonts w:ascii="Arial" w:hAnsi="Arial" w:cs="Arial"/>
          <w:sz w:val="22"/>
          <w:szCs w:val="22"/>
          <w:lang w:val="en-US" w:eastAsia="ko-KR"/>
        </w:rPr>
      </w:pPr>
    </w:p>
    <w:p w14:paraId="59F1CDB8" w14:textId="77777777" w:rsidR="00AF452C" w:rsidRPr="00D93507" w:rsidRDefault="00300FE4" w:rsidP="00AF452C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szCs w:val="22"/>
          <w:lang w:val="en-US"/>
        </w:rPr>
        <w:t xml:space="preserve">Bank </w:t>
      </w:r>
      <w:r w:rsidRPr="00D93507">
        <w:rPr>
          <w:rFonts w:ascii="Arial" w:hAnsi="Arial" w:cs="Arial"/>
          <w:lang w:val="en-US"/>
        </w:rPr>
        <w:t>Employees by Gender</w:t>
      </w:r>
      <w:r w:rsidR="00AF452C" w:rsidRPr="00D93507">
        <w:rPr>
          <w:rFonts w:ascii="Arial" w:hAnsi="Arial" w:cs="Arial"/>
          <w:lang w:val="en-US"/>
        </w:rPr>
        <w:t xml:space="preserve"> and Education Level</w:t>
      </w:r>
    </w:p>
    <w:p w14:paraId="2C6DF3EC" w14:textId="7EAE2228" w:rsidR="00AF452C" w:rsidRPr="00D93507" w:rsidRDefault="004E0114" w:rsidP="00AF452C">
      <w:pPr>
        <w:pStyle w:val="Heading9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8BE831" wp14:editId="4AEB7D53">
            <wp:simplePos x="0" y="0"/>
            <wp:positionH relativeFrom="column">
              <wp:posOffset>2263140</wp:posOffset>
            </wp:positionH>
            <wp:positionV relativeFrom="paragraph">
              <wp:posOffset>113030</wp:posOffset>
            </wp:positionV>
            <wp:extent cx="2819400" cy="1600200"/>
            <wp:effectExtent l="0" t="0" r="0" b="0"/>
            <wp:wrapSquare wrapText="bothSides"/>
            <wp:docPr id="4816054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E4" w:rsidRPr="00D93507">
        <w:rPr>
          <w:rFonts w:ascii="Arial" w:hAnsi="Arial" w:cs="Arial"/>
          <w:lang w:val="en-US"/>
        </w:rPr>
        <w:t xml:space="preserve"> </w:t>
      </w:r>
    </w:p>
    <w:p w14:paraId="113363AD" w14:textId="00E8D132" w:rsidR="00AF452C" w:rsidRPr="00D93507" w:rsidRDefault="00F70CF6" w:rsidP="002C5381">
      <w:pPr>
        <w:jc w:val="right"/>
        <w:rPr>
          <w:rFonts w:ascii="Arial" w:hAnsi="Arial" w:cs="Arial"/>
          <w:lang w:val="en-US" w:eastAsia="tr-TR"/>
        </w:rPr>
      </w:pPr>
      <w:r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6192" behindDoc="0" locked="0" layoutInCell="1" allowOverlap="1" wp14:anchorId="255F18C3" wp14:editId="1AF39BD5">
            <wp:simplePos x="0" y="0"/>
            <wp:positionH relativeFrom="margin">
              <wp:posOffset>12470</wp:posOffset>
            </wp:positionH>
            <wp:positionV relativeFrom="margin">
              <wp:posOffset>1705553</wp:posOffset>
            </wp:positionV>
            <wp:extent cx="2194560" cy="15779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114" w:rsidRPr="004E0114">
        <w:rPr>
          <w:noProof/>
        </w:rPr>
        <w:t xml:space="preserve"> </w:t>
      </w:r>
    </w:p>
    <w:p w14:paraId="7E3613D3" w14:textId="2A41C0A8" w:rsidR="00382C51" w:rsidRPr="004E0114" w:rsidRDefault="000C440E" w:rsidP="0091459E">
      <w:pPr>
        <w:pStyle w:val="Heading9"/>
        <w:tabs>
          <w:tab w:val="left" w:pos="504"/>
        </w:tabs>
        <w:jc w:val="left"/>
        <w:rPr>
          <w:rFonts w:ascii="Arial" w:hAnsi="Arial" w:cs="Arial"/>
          <w:color w:val="000000" w:themeColor="text1"/>
          <w:lang w:val="en-US"/>
        </w:rPr>
      </w:pPr>
      <w:r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4</w:t>
      </w:r>
      <w:r w:rsidR="000C703E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2</w:t>
      </w:r>
      <w:r w:rsidR="00CF4D4C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</w:t>
      </w:r>
      <w:r w:rsidR="00B93CFE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of employees </w:t>
      </w:r>
      <w:r w:rsidR="00CF4D4C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ar</w:t>
      </w:r>
      <w:r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e in the 36-45 age range, and 38</w:t>
      </w:r>
      <w:r w:rsidR="00CF4D4C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are in the 26-35 age range.</w:t>
      </w:r>
    </w:p>
    <w:p w14:paraId="7E026B09" w14:textId="77777777" w:rsidR="00AE26A5" w:rsidRPr="00D93507" w:rsidRDefault="00AE26A5" w:rsidP="00382C5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71A4414" w14:textId="77777777" w:rsidR="00382C51" w:rsidRPr="004E0114" w:rsidRDefault="00382C51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Bank Employees by Age (percent)</w:t>
      </w:r>
    </w:p>
    <w:p w14:paraId="75B2A321" w14:textId="77777777" w:rsidR="006A3537" w:rsidRPr="00D93507" w:rsidRDefault="006A3537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1293075" w14:textId="1DB3E152" w:rsidR="00FA5643" w:rsidRPr="00D93507" w:rsidRDefault="000C703E" w:rsidP="00E06A4C">
      <w:pPr>
        <w:pStyle w:val="Subtitle"/>
        <w:jc w:val="center"/>
        <w:rPr>
          <w:rFonts w:cs="Arial"/>
          <w:szCs w:val="22"/>
          <w:lang w:val="en-US"/>
        </w:rPr>
      </w:pPr>
      <w:r>
        <w:rPr>
          <w:noProof/>
        </w:rPr>
        <w:drawing>
          <wp:inline distT="0" distB="0" distL="0" distR="0" wp14:anchorId="18D7C92E" wp14:editId="6B2A071E">
            <wp:extent cx="4508904" cy="2348345"/>
            <wp:effectExtent l="0" t="0" r="635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C825C5" w14:textId="1DA00738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341839DD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1A3EDDE0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3FC9BF2E" w14:textId="71083DD7" w:rsidR="00AE26A5" w:rsidRDefault="00AE26A5" w:rsidP="003B53F2">
      <w:pPr>
        <w:pStyle w:val="Subtitle"/>
        <w:rPr>
          <w:rFonts w:cs="Arial"/>
          <w:szCs w:val="22"/>
          <w:lang w:val="en-US"/>
        </w:rPr>
      </w:pPr>
    </w:p>
    <w:p w14:paraId="64395F95" w14:textId="27D8E527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46DBD479" w14:textId="7167FEE8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3DAB0DDB" w14:textId="5B174BDA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27C5DF3C" w14:textId="67201A0D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559454D0" w14:textId="77777777" w:rsidR="000C703E" w:rsidRPr="00D93507" w:rsidRDefault="000C703E" w:rsidP="003B53F2">
      <w:pPr>
        <w:pStyle w:val="Subtitle"/>
        <w:rPr>
          <w:rFonts w:cs="Arial"/>
          <w:szCs w:val="22"/>
          <w:lang w:val="en-US"/>
        </w:rPr>
      </w:pPr>
    </w:p>
    <w:p w14:paraId="66598200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4E9B65E8" w14:textId="77777777" w:rsidR="004E0114" w:rsidRDefault="004E0114" w:rsidP="004E0114">
      <w:pPr>
        <w:pStyle w:val="Subtitle"/>
        <w:rPr>
          <w:rFonts w:cs="Arial"/>
          <w:szCs w:val="22"/>
          <w:lang w:val="en-US"/>
        </w:rPr>
      </w:pPr>
    </w:p>
    <w:p w14:paraId="6376B539" w14:textId="32610220" w:rsidR="003B53F2" w:rsidRPr="004E0114" w:rsidRDefault="003B53F2" w:rsidP="004E0114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lastRenderedPageBreak/>
        <w:t>Number of Branches</w:t>
      </w:r>
    </w:p>
    <w:p w14:paraId="566D18E6" w14:textId="77777777" w:rsidR="004E0114" w:rsidRPr="004E0114" w:rsidRDefault="004E0114" w:rsidP="004E0114">
      <w:pPr>
        <w:pStyle w:val="Subtitle"/>
        <w:rPr>
          <w:rFonts w:cs="Arial"/>
          <w:color w:val="000000" w:themeColor="text1"/>
          <w:szCs w:val="22"/>
          <w:lang w:val="en-US"/>
        </w:rPr>
      </w:pPr>
    </w:p>
    <w:p w14:paraId="5C134191" w14:textId="4D0814EA" w:rsidR="003B53F2" w:rsidRPr="004E0114" w:rsidRDefault="000F7651" w:rsidP="003B53F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41476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="003B53F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9,</w:t>
      </w:r>
      <w:r w:rsidR="0041476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32</w:t>
      </w:r>
      <w:r w:rsidR="003A117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</w:t>
      </w:r>
      <w:r w:rsidR="0091459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3B53F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2A63668" w14:textId="77777777" w:rsidR="00AE26A5" w:rsidRPr="00D93507" w:rsidRDefault="00AE26A5" w:rsidP="003B53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9C74D29" w14:textId="77777777" w:rsidR="00CC088E" w:rsidRPr="00D93507" w:rsidRDefault="00CC088E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1DE816E8" w14:textId="77777777" w:rsidR="00FC4EA3" w:rsidRPr="00D93507" w:rsidRDefault="005126D8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93507">
        <w:rPr>
          <w:rFonts w:ascii="Arial" w:hAnsi="Arial" w:cs="Arial"/>
          <w:b/>
          <w:sz w:val="22"/>
          <w:szCs w:val="22"/>
          <w:lang w:val="en-US"/>
        </w:rPr>
        <w:t>Number of Branches*</w:t>
      </w:r>
    </w:p>
    <w:p w14:paraId="4367519A" w14:textId="4E69515C" w:rsidR="00047F97" w:rsidRPr="00D93507" w:rsidRDefault="00F70CF6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4E0114">
        <w:rPr>
          <w:rFonts w:ascii="Arial" w:hAnsi="Arial" w:cs="Arial"/>
          <w:bCs/>
          <w:noProof/>
          <w:sz w:val="22"/>
          <w:szCs w:val="22"/>
          <w:lang w:eastAsia="tr-TR"/>
        </w:rPr>
        <w:drawing>
          <wp:inline distT="0" distB="0" distL="0" distR="0" wp14:anchorId="6C67AAD3" wp14:editId="32B0D1E0">
            <wp:extent cx="4232563" cy="254271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059" cy="254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3832B" w14:textId="77777777" w:rsidR="005126D8" w:rsidRPr="00D93507" w:rsidRDefault="005126D8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66F318C5" w14:textId="77777777" w:rsidR="003B53F2" w:rsidRPr="00D93507" w:rsidRDefault="003B53F2" w:rsidP="003B53F2">
      <w:pPr>
        <w:rPr>
          <w:rFonts w:ascii="Arial" w:hAnsi="Arial" w:cs="Arial"/>
          <w:i/>
          <w:sz w:val="16"/>
          <w:lang w:val="en-US"/>
        </w:rPr>
      </w:pPr>
      <w:r w:rsidRPr="00D93507">
        <w:rPr>
          <w:rFonts w:ascii="Arial" w:hAnsi="Arial" w:cs="Arial"/>
          <w:i/>
          <w:sz w:val="16"/>
          <w:lang w:val="en-US"/>
        </w:rPr>
        <w:t xml:space="preserve"> * Branches in foreign countries and Turkish Republic of Northern Cyprus are included.</w:t>
      </w:r>
    </w:p>
    <w:p w14:paraId="170A1948" w14:textId="77777777" w:rsidR="002D557D" w:rsidRPr="00D93507" w:rsidRDefault="002D557D" w:rsidP="00D04C4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9789F37" w14:textId="2EEBC1AC" w:rsidR="00EB02B3" w:rsidRPr="004E0114" w:rsidRDefault="00EB02B3" w:rsidP="00EB02B3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number of branches decreased by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130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, as c</w:t>
      </w:r>
      <w:r w:rsidR="002574F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ompared to previous quarter and</w:t>
      </w:r>
      <w:r w:rsidR="001E508C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</w:t>
      </w:r>
      <w:r w:rsidR="007365E1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68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as compared to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92337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2023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129F061" w14:textId="77777777" w:rsidR="00047F97" w:rsidRPr="00D93507" w:rsidRDefault="00047F97" w:rsidP="00EB02B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95F3A7C" w14:textId="34C31ABE" w:rsidR="00244D70" w:rsidRPr="004E0114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14:paraId="15536D55" w14:textId="77777777" w:rsidR="00926B08" w:rsidRPr="004E0114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C9617E4" w14:textId="707A7CC1" w:rsidR="00926B08" w:rsidRPr="004E0114" w:rsidRDefault="008601CB" w:rsidP="001E508C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="004170F1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8C30BD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0</w:t>
      </w:r>
      <w:r w:rsidR="0024332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branches per 100,000 people was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10.9</w:t>
      </w:r>
      <w:r w:rsidR="00F74E3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FCB531C" w14:textId="77777777" w:rsidR="007B5FCE" w:rsidRPr="00D93507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4049B7" w14:textId="77777777" w:rsidR="005126D8" w:rsidRPr="00D93507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D93507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D93507">
        <w:rPr>
          <w:rFonts w:ascii="Arial" w:hAnsi="Arial" w:cs="Arial"/>
          <w:noProof/>
          <w:lang w:val="en-US" w:eastAsia="tr-TR"/>
        </w:rPr>
        <w:t xml:space="preserve">* </w:t>
      </w:r>
    </w:p>
    <w:p w14:paraId="5B58C4B9" w14:textId="36D443B4" w:rsidR="00236CCD" w:rsidRPr="00D93507" w:rsidRDefault="008F30F7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8361D45" wp14:editId="430E3D49">
            <wp:extent cx="4926675" cy="2277135"/>
            <wp:effectExtent l="0" t="0" r="7620" b="889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7FE5D7" w14:textId="4EB62791" w:rsidR="00926BDD" w:rsidRPr="00D93507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D93507">
        <w:rPr>
          <w:rFonts w:ascii="Arial" w:hAnsi="Arial" w:cs="Arial"/>
          <w:sz w:val="18"/>
          <w:szCs w:val="22"/>
          <w:lang w:val="en-US"/>
        </w:rPr>
        <w:t>*</w:t>
      </w:r>
      <w:r w:rsidR="00926BDD" w:rsidRPr="00D93507">
        <w:rPr>
          <w:rFonts w:ascii="Arial" w:hAnsi="Arial" w:cs="Arial"/>
          <w:sz w:val="18"/>
          <w:szCs w:val="22"/>
          <w:lang w:val="en-US"/>
        </w:rPr>
        <w:t xml:space="preserve"> </w:t>
      </w:r>
      <w:r w:rsidR="00E7510A" w:rsidRPr="00D93507">
        <w:rPr>
          <w:rFonts w:ascii="Arial" w:hAnsi="Arial" w:cs="Arial"/>
          <w:sz w:val="18"/>
          <w:szCs w:val="22"/>
          <w:lang w:val="en-US"/>
        </w:rPr>
        <w:t>202</w:t>
      </w:r>
      <w:r w:rsidR="00157E96">
        <w:rPr>
          <w:rFonts w:ascii="Arial" w:hAnsi="Arial" w:cs="Arial"/>
          <w:sz w:val="18"/>
          <w:szCs w:val="22"/>
          <w:lang w:val="en-US"/>
        </w:rPr>
        <w:t>3</w:t>
      </w:r>
      <w:r w:rsidR="00926BDD" w:rsidRPr="00D93507">
        <w:rPr>
          <w:rFonts w:ascii="Arial" w:hAnsi="Arial" w:cs="Arial"/>
          <w:sz w:val="18"/>
          <w:szCs w:val="22"/>
          <w:lang w:val="en-US"/>
        </w:rPr>
        <w:t xml:space="preserve"> population data were used in the </w:t>
      </w:r>
      <w:r w:rsidR="00BE078A" w:rsidRPr="00D93507">
        <w:rPr>
          <w:rFonts w:ascii="Arial" w:hAnsi="Arial" w:cs="Arial"/>
          <w:sz w:val="18"/>
          <w:szCs w:val="22"/>
          <w:lang w:val="en-US"/>
        </w:rPr>
        <w:t>202</w:t>
      </w:r>
      <w:r w:rsidR="00157E96">
        <w:rPr>
          <w:rFonts w:ascii="Arial" w:hAnsi="Arial" w:cs="Arial"/>
          <w:sz w:val="18"/>
          <w:szCs w:val="22"/>
          <w:lang w:val="en-US"/>
        </w:rPr>
        <w:t>4</w:t>
      </w:r>
      <w:r w:rsidR="004B6F89" w:rsidRPr="00D93507">
        <w:rPr>
          <w:rFonts w:ascii="Arial" w:hAnsi="Arial" w:cs="Arial"/>
          <w:sz w:val="18"/>
          <w:szCs w:val="22"/>
          <w:lang w:val="en-US"/>
        </w:rPr>
        <w:t xml:space="preserve"> </w:t>
      </w:r>
      <w:r w:rsidR="00926BDD" w:rsidRPr="00D93507">
        <w:rPr>
          <w:rFonts w:ascii="Arial" w:hAnsi="Arial" w:cs="Arial"/>
          <w:sz w:val="18"/>
          <w:szCs w:val="22"/>
          <w:lang w:val="en-US"/>
        </w:rPr>
        <w:t>calculations.</w:t>
      </w:r>
    </w:p>
    <w:p w14:paraId="00A153E2" w14:textId="77777777" w:rsidR="00926B08" w:rsidRPr="00D93507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D93507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05D2" w14:textId="77777777" w:rsidR="003A5F74" w:rsidRDefault="003A5F74">
      <w:r>
        <w:separator/>
      </w:r>
    </w:p>
  </w:endnote>
  <w:endnote w:type="continuationSeparator" w:id="0">
    <w:p w14:paraId="55C7FE2B" w14:textId="77777777"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0922" w14:textId="77777777"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749C6" w14:textId="77777777"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A43B" w14:textId="0673BCF0"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F70CF6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204049D8" w14:textId="2D3B4A7C"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157E96">
      <w:rPr>
        <w:rFonts w:ascii="Arial" w:hAnsi="Arial"/>
        <w:sz w:val="18"/>
        <w:lang w:val="en-US"/>
      </w:rPr>
      <w:t>December</w:t>
    </w:r>
    <w:r w:rsidR="00846D65">
      <w:rPr>
        <w:rFonts w:ascii="Arial" w:hAnsi="Arial"/>
        <w:sz w:val="18"/>
        <w:lang w:val="en-US"/>
      </w:rPr>
      <w:t xml:space="preserve"> 2024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586E" w14:textId="77777777"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9F87" w14:textId="77777777" w:rsidR="003A5F74" w:rsidRDefault="003A5F74">
      <w:r>
        <w:separator/>
      </w:r>
    </w:p>
  </w:footnote>
  <w:footnote w:type="continuationSeparator" w:id="0">
    <w:p w14:paraId="54FF75E1" w14:textId="77777777" w:rsidR="003A5F74" w:rsidRDefault="003A5F74">
      <w:r>
        <w:continuationSeparator/>
      </w:r>
    </w:p>
  </w:footnote>
  <w:footnote w:id="1">
    <w:p w14:paraId="11F6B778" w14:textId="77777777"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2966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9EFAAA" wp14:editId="5502FE7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6EE9B3C2" wp14:editId="16A21C1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DA2A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41BF5D1" wp14:editId="1FB248DD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5A21C61" wp14:editId="072783C4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47F97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0422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C703E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57E96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44C6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69B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63C0"/>
    <w:rsid w:val="002A0A76"/>
    <w:rsid w:val="002A1998"/>
    <w:rsid w:val="002A4FB6"/>
    <w:rsid w:val="002A562E"/>
    <w:rsid w:val="002A5A6A"/>
    <w:rsid w:val="002B0CE4"/>
    <w:rsid w:val="002B25AE"/>
    <w:rsid w:val="002B2666"/>
    <w:rsid w:val="002B3000"/>
    <w:rsid w:val="002B56D6"/>
    <w:rsid w:val="002B5BD1"/>
    <w:rsid w:val="002B780D"/>
    <w:rsid w:val="002C26CE"/>
    <w:rsid w:val="002C5381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2F77B0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2702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172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476F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436BE"/>
    <w:rsid w:val="00450C3E"/>
    <w:rsid w:val="00452541"/>
    <w:rsid w:val="00454CD5"/>
    <w:rsid w:val="004600C1"/>
    <w:rsid w:val="00460C9D"/>
    <w:rsid w:val="0046246E"/>
    <w:rsid w:val="004624B7"/>
    <w:rsid w:val="00462985"/>
    <w:rsid w:val="004629F4"/>
    <w:rsid w:val="00463494"/>
    <w:rsid w:val="00463816"/>
    <w:rsid w:val="0046398B"/>
    <w:rsid w:val="00465595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114"/>
    <w:rsid w:val="004E0B61"/>
    <w:rsid w:val="004E1F1E"/>
    <w:rsid w:val="004E37B9"/>
    <w:rsid w:val="004E542A"/>
    <w:rsid w:val="004F08B4"/>
    <w:rsid w:val="004F19C3"/>
    <w:rsid w:val="004F1F77"/>
    <w:rsid w:val="00502BB2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D520C"/>
    <w:rsid w:val="005E0654"/>
    <w:rsid w:val="005E16E4"/>
    <w:rsid w:val="005E16F6"/>
    <w:rsid w:val="005E48D2"/>
    <w:rsid w:val="005E4C32"/>
    <w:rsid w:val="005E603B"/>
    <w:rsid w:val="005E614C"/>
    <w:rsid w:val="005E7997"/>
    <w:rsid w:val="005F2B5A"/>
    <w:rsid w:val="005F46A2"/>
    <w:rsid w:val="005F796C"/>
    <w:rsid w:val="00602956"/>
    <w:rsid w:val="00604D6E"/>
    <w:rsid w:val="00606292"/>
    <w:rsid w:val="0061659E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0FD7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2700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915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2802"/>
    <w:rsid w:val="00803447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6D65"/>
    <w:rsid w:val="00847325"/>
    <w:rsid w:val="00847592"/>
    <w:rsid w:val="008508DE"/>
    <w:rsid w:val="00853579"/>
    <w:rsid w:val="00853F0B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D4D11"/>
    <w:rsid w:val="008E1973"/>
    <w:rsid w:val="008E3608"/>
    <w:rsid w:val="008E51A4"/>
    <w:rsid w:val="008F1042"/>
    <w:rsid w:val="008F2B48"/>
    <w:rsid w:val="008F30F7"/>
    <w:rsid w:val="008F4CA4"/>
    <w:rsid w:val="008F521C"/>
    <w:rsid w:val="008F5847"/>
    <w:rsid w:val="008F651C"/>
    <w:rsid w:val="00900506"/>
    <w:rsid w:val="0090704E"/>
    <w:rsid w:val="00910517"/>
    <w:rsid w:val="00912952"/>
    <w:rsid w:val="0091459E"/>
    <w:rsid w:val="009148F6"/>
    <w:rsid w:val="00916AA5"/>
    <w:rsid w:val="00922613"/>
    <w:rsid w:val="00923370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54BA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6A5"/>
    <w:rsid w:val="00AE2797"/>
    <w:rsid w:val="00AE2F25"/>
    <w:rsid w:val="00AE323B"/>
    <w:rsid w:val="00AE4D5F"/>
    <w:rsid w:val="00AE7B4B"/>
    <w:rsid w:val="00AF23C4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075A3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05D2"/>
    <w:rsid w:val="00C44F1F"/>
    <w:rsid w:val="00C44F9F"/>
    <w:rsid w:val="00C46318"/>
    <w:rsid w:val="00C50E75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4C8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0AD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6D14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3507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540"/>
    <w:rsid w:val="00E00709"/>
    <w:rsid w:val="00E02F62"/>
    <w:rsid w:val="00E05055"/>
    <w:rsid w:val="00E0566F"/>
    <w:rsid w:val="00E05684"/>
    <w:rsid w:val="00E06A4C"/>
    <w:rsid w:val="00E06C98"/>
    <w:rsid w:val="00E113C4"/>
    <w:rsid w:val="00E1169F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5376F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510A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711"/>
    <w:rsid w:val="00F21BE2"/>
    <w:rsid w:val="00F21E0F"/>
    <w:rsid w:val="00F22B15"/>
    <w:rsid w:val="00F2338E"/>
    <w:rsid w:val="00F24853"/>
    <w:rsid w:val="00F24B63"/>
    <w:rsid w:val="00F24C8C"/>
    <w:rsid w:val="00F2527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0CF6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A7FDA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6B43"/>
    <w:rsid w:val="00FE728F"/>
    <w:rsid w:val="00FE7995"/>
    <w:rsid w:val="00FF0F9B"/>
    <w:rsid w:val="00FF16BA"/>
    <w:rsid w:val="00FF1723"/>
    <w:rsid w:val="00FF1EE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5F87046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Eyl&#252;l%202024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Eyl&#252;l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7-421D-B1B6-4EE91DB374B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7-421D-B1B6-4EE91DB374B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27-421D-B1B6-4EE91DB374B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27-421D-B1B6-4EE91DB374B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27-421D-B1B6-4EE91DB374B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27-421D-B1B6-4EE91DB374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27-421D-B1B6-4EE91DB37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2038144"/>
        <c:axId val="1722048480"/>
      </c:barChart>
      <c:catAx>
        <c:axId val="1722038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22048480"/>
        <c:crosses val="autoZero"/>
        <c:auto val="1"/>
        <c:lblAlgn val="ctr"/>
        <c:lblOffset val="100"/>
        <c:noMultiLvlLbl val="0"/>
      </c:catAx>
      <c:valAx>
        <c:axId val="1722048480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72203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88925278145547E-2"/>
          <c:y val="0.80264361414105423"/>
          <c:w val="0.97441107472185451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053030572598694E-2"/>
          <c:y val="2.3875688105358512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0E-4690-84A0-12EC2C8A9CC5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0E-4690-84A0-12EC2C8A9CC5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0E-4690-84A0-12EC2C8A9CC5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0E-4690-84A0-12EC2C8A9CC5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"/>
                      <c:h val="0.238095238095238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C0E-4690-84A0-12EC2C8A9CC5}"/>
                </c:ext>
              </c:extLst>
            </c:dLbl>
            <c:dLbl>
              <c:idx val="1"/>
              <c:layout>
                <c:manualLayout>
                  <c:x val="3.4177206853315302E-2"/>
                  <c:y val="-9.64313182464950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078846563098533"/>
                      <c:h val="0.242738407699037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C0E-4690-84A0-12EC2C8A9CC5}"/>
                </c:ext>
              </c:extLst>
            </c:dLbl>
            <c:dLbl>
              <c:idx val="2"/>
              <c:layout>
                <c:manualLayout>
                  <c:x val="4.6684578279066469E-2"/>
                  <c:y val="-7.21628546431696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383769596368018"/>
                      <c:h val="0.258272090988626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C0E-4690-84A0-12EC2C8A9CC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CCEF79A-3D98-4B89-8CB9-06D44E1DC01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C0E-4690-84A0-12EC2C8A9CC5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149.084</c:v>
                </c:pt>
                <c:pt idx="1">
                  <c:v>19.760999999999999</c:v>
                </c:pt>
                <c:pt idx="2">
                  <c:v>18.463000000000001</c:v>
                </c:pt>
                <c:pt idx="3">
                  <c:v>0.60099999999999998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0E-4690-84A0-12EC2C8A9CC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76-4DEE-BAF9-678A2DF1862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E76-4DEE-BAF9-678A2DF1862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E76-4DEE-BAF9-678A2DF1862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E76-4DEE-BAF9-678A2DF1862E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0.6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E76-4DEE-BAF9-678A2DF18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3.1036299485389205</c:v>
                </c:pt>
                <c:pt idx="1">
                  <c:v>16.857627894353115</c:v>
                </c:pt>
                <c:pt idx="2">
                  <c:v>21.851002346880673</c:v>
                </c:pt>
                <c:pt idx="3">
                  <c:v>6.14393137103598</c:v>
                </c:pt>
                <c:pt idx="4" formatCode="0.0">
                  <c:v>0.58858277144788174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76-4DEE-BAF9-678A2DF1862E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76-4DEE-BAF9-678A2DF1862E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 b="1"/>
                      <a:t>0.2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E76-4DEE-BAF9-678A2DF18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4.5192087659452183</c:v>
                </c:pt>
                <c:pt idx="1">
                  <c:v>21.406106147124408</c:v>
                </c:pt>
                <c:pt idx="2">
                  <c:v>20.426376597182681</c:v>
                </c:pt>
                <c:pt idx="3">
                  <c:v>4.3137901856749812</c:v>
                </c:pt>
                <c:pt idx="4" formatCode="0.0">
                  <c:v>0.24160630943701472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76-4DEE-BAF9-678A2DF18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872"/>
        <c:axId val="1953344768"/>
      </c:barChart>
      <c:catAx>
        <c:axId val="19533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44768"/>
        <c:crosses val="autoZero"/>
        <c:auto val="1"/>
        <c:lblAlgn val="ctr"/>
        <c:lblOffset val="100"/>
        <c:noMultiLvlLbl val="0"/>
      </c:catAx>
      <c:valAx>
        <c:axId val="1953344768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göre'!$I$2:$M$2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göre'!$I$3:$M$3</c:f>
              <c:numCache>
                <c:formatCode>0.0</c:formatCode>
                <c:ptCount val="5"/>
                <c:pt idx="0">
                  <c:v>11.886713911660296</c:v>
                </c:pt>
                <c:pt idx="1">
                  <c:v>11.563496022267193</c:v>
                </c:pt>
                <c:pt idx="2">
                  <c:v>11.328624107586492</c:v>
                </c:pt>
                <c:pt idx="3">
                  <c:v>11.124207072271163</c:v>
                </c:pt>
                <c:pt idx="4">
                  <c:v>10.927422109847075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09-4CB1-8381-DB121E79F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697328"/>
        <c:axId val="151570222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göre'!$I$2:$M$2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göre'!$I$4:$M$4</c:f>
              <c:numCache>
                <c:formatCode>0</c:formatCode>
                <c:ptCount val="5"/>
                <c:pt idx="0">
                  <c:v>223.18295031659753</c:v>
                </c:pt>
                <c:pt idx="1">
                  <c:v>218.76169435589799</c:v>
                </c:pt>
                <c:pt idx="2">
                  <c:v>221.25702277074552</c:v>
                </c:pt>
                <c:pt idx="3">
                  <c:v>221.50841600673718</c:v>
                </c:pt>
                <c:pt idx="4">
                  <c:v>220.1051518104035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09-4CB1-8381-DB121E79F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336064"/>
        <c:axId val="1515704400"/>
      </c:lineChart>
      <c:catAx>
        <c:axId val="151569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02224"/>
        <c:crosses val="autoZero"/>
        <c:auto val="1"/>
        <c:lblAlgn val="ctr"/>
        <c:lblOffset val="100"/>
        <c:noMultiLvlLbl val="0"/>
      </c:catAx>
      <c:valAx>
        <c:axId val="151570222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697328"/>
        <c:crosses val="autoZero"/>
        <c:crossBetween val="between"/>
        <c:majorUnit val="1"/>
      </c:valAx>
      <c:valAx>
        <c:axId val="151570440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36064"/>
        <c:crosses val="max"/>
        <c:crossBetween val="between"/>
        <c:majorUnit val="10"/>
      </c:valAx>
      <c:catAx>
        <c:axId val="1953336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570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0.11724</cdr:x>
      <cdr:y>0.58484</cdr:y>
    </cdr:from>
    <cdr:to>
      <cdr:x>0.55987</cdr:x>
      <cdr:y>0.81412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0935" y="753512"/>
          <a:ext cx="2382069" cy="29541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0.03347</cdr:x>
      <cdr:y>0.46476</cdr:y>
    </cdr:from>
    <cdr:to>
      <cdr:x>0.60829</cdr:x>
      <cdr:y>0.60755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634847" y="-855938"/>
          <a:ext cx="183981" cy="309345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C6B1-77FB-4EE9-9706-129F15A5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91</cp:revision>
  <cp:lastPrinted>2019-10-25T07:35:00Z</cp:lastPrinted>
  <dcterms:created xsi:type="dcterms:W3CDTF">2022-01-26T11:03:00Z</dcterms:created>
  <dcterms:modified xsi:type="dcterms:W3CDTF">2025-02-03T11:34:00Z</dcterms:modified>
</cp:coreProperties>
</file>