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EA" w:rsidRPr="00010374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010374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010374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DD0655" w:rsidRPr="00010374" w:rsidRDefault="00874B66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1037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Quarterly Statistics by Banks, </w:t>
      </w:r>
      <w:r w:rsidR="009C0A01" w:rsidRPr="00010374">
        <w:rPr>
          <w:rFonts w:ascii="Arial" w:hAnsi="Arial" w:cs="Arial"/>
          <w:color w:val="000000" w:themeColor="text1"/>
          <w:sz w:val="28"/>
          <w:szCs w:val="28"/>
          <w:lang w:val="en-US"/>
        </w:rPr>
        <w:t>Employees and Branches</w:t>
      </w:r>
    </w:p>
    <w:p w:rsidR="00EC6DE3" w:rsidRPr="00010374" w:rsidRDefault="00D63169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10374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DD0655" w:rsidRPr="00010374">
        <w:rPr>
          <w:rFonts w:ascii="Arial" w:hAnsi="Arial" w:cs="Arial"/>
          <w:color w:val="000000" w:themeColor="text1"/>
          <w:sz w:val="28"/>
          <w:szCs w:val="28"/>
          <w:lang w:val="en-US"/>
        </w:rPr>
        <w:t>n Banking System</w:t>
      </w:r>
      <w:r w:rsidR="000600C3" w:rsidRPr="00010374">
        <w:rPr>
          <w:rStyle w:val="FootnoteReference"/>
          <w:rFonts w:ascii="Arial" w:hAnsi="Arial" w:cs="Arial"/>
          <w:color w:val="000000" w:themeColor="text1"/>
          <w:sz w:val="28"/>
          <w:szCs w:val="28"/>
          <w:lang w:val="en-US"/>
        </w:rPr>
        <w:footnoteReference w:id="1"/>
      </w:r>
      <w:r w:rsidR="00C23A1D" w:rsidRPr="0001037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:rsidR="007978EA" w:rsidRPr="00010374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C3793B" w:rsidRPr="00010374" w:rsidRDefault="00010374" w:rsidP="00D56E83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 w:rsidRPr="00010374">
        <w:rPr>
          <w:rFonts w:ascii="Arial" w:hAnsi="Arial" w:cs="Arial"/>
          <w:color w:val="000000" w:themeColor="text1"/>
          <w:szCs w:val="24"/>
          <w:lang w:val="en-US"/>
        </w:rPr>
        <w:t>September</w:t>
      </w:r>
      <w:r w:rsidR="00D56E83" w:rsidRPr="00010374">
        <w:rPr>
          <w:rFonts w:ascii="Arial" w:hAnsi="Arial" w:cs="Arial"/>
          <w:color w:val="000000" w:themeColor="text1"/>
          <w:szCs w:val="24"/>
          <w:lang w:val="en-US"/>
        </w:rPr>
        <w:t xml:space="preserve"> 2023</w:t>
      </w:r>
    </w:p>
    <w:p w:rsidR="00C3793B" w:rsidRPr="00010374" w:rsidRDefault="00C3793B" w:rsidP="00B07B3D">
      <w:pPr>
        <w:pStyle w:val="Subtitle"/>
        <w:rPr>
          <w:color w:val="FF0000"/>
          <w:sz w:val="16"/>
          <w:szCs w:val="16"/>
          <w:lang w:val="en-US"/>
        </w:rPr>
      </w:pPr>
    </w:p>
    <w:p w:rsidR="007978EA" w:rsidRPr="00010374" w:rsidRDefault="007978EA" w:rsidP="00B07B3D">
      <w:pPr>
        <w:pStyle w:val="Subtitle"/>
        <w:rPr>
          <w:color w:val="FF0000"/>
          <w:sz w:val="16"/>
          <w:szCs w:val="16"/>
          <w:lang w:val="en-US"/>
        </w:rPr>
      </w:pPr>
    </w:p>
    <w:p w:rsidR="00EC6DE3" w:rsidRPr="000F060B" w:rsidRDefault="00A27B2E" w:rsidP="00B07B3D">
      <w:pPr>
        <w:pStyle w:val="Subtitle"/>
        <w:rPr>
          <w:color w:val="000000" w:themeColor="text1"/>
          <w:szCs w:val="22"/>
          <w:lang w:val="en-US"/>
        </w:rPr>
      </w:pPr>
      <w:r w:rsidRPr="000F060B">
        <w:rPr>
          <w:color w:val="000000" w:themeColor="text1"/>
          <w:szCs w:val="22"/>
          <w:lang w:val="en-US"/>
        </w:rPr>
        <w:t>Number of Banks</w:t>
      </w:r>
    </w:p>
    <w:p w:rsidR="00EC6DE3" w:rsidRPr="000F060B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color w:val="000000" w:themeColor="text1"/>
          <w:sz w:val="12"/>
          <w:szCs w:val="12"/>
        </w:rPr>
      </w:pPr>
    </w:p>
    <w:p w:rsidR="000F060B" w:rsidRPr="00A47C46" w:rsidRDefault="00EC6DE3" w:rsidP="00584F4E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893871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deposit, development and investment </w:t>
      </w:r>
      <w:r w:rsidR="00B31FCD" w:rsidRPr="000F060B">
        <w:rPr>
          <w:rFonts w:ascii="Arial" w:hAnsi="Arial"/>
          <w:color w:val="000000" w:themeColor="text1"/>
          <w:sz w:val="22"/>
          <w:szCs w:val="22"/>
          <w:lang w:val="en-US"/>
        </w:rPr>
        <w:t>banks was</w:t>
      </w:r>
      <w:r w:rsidR="003023F5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9752C" w:rsidRPr="000F060B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4B4BF5" w:rsidRPr="000F060B">
        <w:rPr>
          <w:rFonts w:ascii="Arial" w:hAnsi="Arial"/>
          <w:color w:val="000000" w:themeColor="text1"/>
          <w:sz w:val="22"/>
          <w:szCs w:val="22"/>
          <w:lang w:val="en-US"/>
        </w:rPr>
        <w:t>8</w:t>
      </w:r>
      <w:r w:rsidR="006E45EF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 at the end of</w:t>
      </w:r>
      <w:r w:rsidR="00DB26D8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010374" w:rsidRPr="000F060B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="00640330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 2023</w:t>
      </w:r>
      <w:r w:rsidR="00F21E0F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 with </w:t>
      </w:r>
      <w:r w:rsidRPr="000F060B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F74E30" w:rsidRPr="000F060B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823520" w:rsidRPr="000F060B">
        <w:rPr>
          <w:rFonts w:ascii="Arial" w:hAnsi="Arial"/>
          <w:color w:val="000000" w:themeColor="text1"/>
          <w:sz w:val="22"/>
          <w:szCs w:val="22"/>
          <w:lang w:val="en-US"/>
        </w:rPr>
        <w:t>in deposit banks group and 1</w:t>
      </w:r>
      <w:r w:rsidR="00D87CD1" w:rsidRPr="000F060B">
        <w:rPr>
          <w:rFonts w:ascii="Arial" w:hAnsi="Arial"/>
          <w:color w:val="000000" w:themeColor="text1"/>
          <w:sz w:val="22"/>
          <w:szCs w:val="22"/>
          <w:lang w:val="en-US"/>
        </w:rPr>
        <w:t>7</w:t>
      </w:r>
      <w:r w:rsidR="00823520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 in </w:t>
      </w:r>
      <w:r w:rsidR="00682C5D" w:rsidRPr="000F060B">
        <w:rPr>
          <w:rFonts w:ascii="Arial" w:hAnsi="Arial"/>
          <w:color w:val="000000" w:themeColor="text1"/>
          <w:sz w:val="22"/>
          <w:szCs w:val="22"/>
          <w:lang w:val="en-US"/>
        </w:rPr>
        <w:t>development and investment banks</w:t>
      </w:r>
      <w:r w:rsidR="00823520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 group</w:t>
      </w:r>
      <w:r w:rsidR="00A0040F" w:rsidRPr="000F060B">
        <w:rPr>
          <w:rFonts w:ascii="Arial" w:hAnsi="Arial"/>
          <w:color w:val="000000" w:themeColor="text1"/>
          <w:sz w:val="22"/>
          <w:szCs w:val="22"/>
          <w:lang w:val="en-US"/>
        </w:rPr>
        <w:t>, w</w:t>
      </w:r>
      <w:r w:rsidR="00823520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hile there were </w:t>
      </w:r>
      <w:r w:rsidR="00F21E0F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also </w:t>
      </w:r>
      <w:r w:rsidR="00F05082" w:rsidRPr="000F060B">
        <w:rPr>
          <w:rFonts w:ascii="Arial" w:hAnsi="Arial"/>
          <w:color w:val="000000" w:themeColor="text1"/>
          <w:sz w:val="22"/>
          <w:szCs w:val="22"/>
          <w:lang w:val="en-US"/>
        </w:rPr>
        <w:t>6</w:t>
      </w:r>
      <w:r w:rsidR="00823520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 participation banks.</w:t>
      </w:r>
      <w:r w:rsidR="00844EE9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584F4E" w:rsidRPr="00A47C46">
        <w:rPr>
          <w:rFonts w:ascii="Arial" w:hAnsi="Arial"/>
          <w:color w:val="000000" w:themeColor="text1"/>
          <w:sz w:val="22"/>
          <w:szCs w:val="22"/>
          <w:lang w:val="en-US"/>
        </w:rPr>
        <w:t>Misyon Yatırım Bankası</w:t>
      </w:r>
      <w:r w:rsidR="00584F4E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 A.Ş</w:t>
      </w:r>
      <w:r w:rsidR="00174934" w:rsidRPr="000F060B">
        <w:rPr>
          <w:rFonts w:ascii="Arial" w:hAnsi="Arial"/>
          <w:color w:val="000000" w:themeColor="text1"/>
          <w:sz w:val="22"/>
          <w:szCs w:val="22"/>
          <w:lang w:val="en-US"/>
        </w:rPr>
        <w:t>.</w:t>
      </w:r>
      <w:r w:rsidR="00584F4E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 started its activities</w:t>
      </w:r>
      <w:r w:rsidR="00174934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 on 14 </w:t>
      </w:r>
      <w:r w:rsidR="00010374" w:rsidRPr="000F060B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="00174934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 2023</w:t>
      </w:r>
      <w:r w:rsidR="00584F4E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  <w:r w:rsidR="00A47C46" w:rsidRPr="00A47C46">
        <w:rPr>
          <w:rFonts w:ascii="Arial" w:hAnsi="Arial"/>
          <w:color w:val="000000" w:themeColor="text1"/>
          <w:sz w:val="22"/>
          <w:szCs w:val="22"/>
          <w:lang w:val="en-US"/>
        </w:rPr>
        <w:t>Ada Bank A.Ş.’s</w:t>
      </w:r>
      <w:r w:rsidR="00A47C46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A47C46" w:rsidRPr="000F060B">
        <w:rPr>
          <w:rFonts w:ascii="Arial" w:hAnsi="Arial"/>
          <w:color w:val="000000" w:themeColor="text1"/>
          <w:sz w:val="22"/>
          <w:szCs w:val="22"/>
          <w:lang w:val="en-US"/>
        </w:rPr>
        <w:t>shares of SDIF was sold to AHL Ahlatcı Finansal Yönetim A.Ş., and  the bank was transferred to "Privately-owned Deposit Banks"</w:t>
      </w:r>
      <w:r w:rsidR="00293578">
        <w:rPr>
          <w:rFonts w:ascii="Arial" w:hAnsi="Arial"/>
          <w:color w:val="000000" w:themeColor="text1"/>
          <w:sz w:val="22"/>
          <w:szCs w:val="22"/>
          <w:lang w:val="en-US"/>
        </w:rPr>
        <w:t xml:space="preserve"> Group</w:t>
      </w:r>
      <w:r w:rsidR="00A47C46" w:rsidRPr="000F060B">
        <w:rPr>
          <w:rFonts w:ascii="Arial" w:hAnsi="Arial"/>
          <w:color w:val="000000" w:themeColor="text1"/>
          <w:sz w:val="22"/>
          <w:szCs w:val="22"/>
          <w:lang w:val="en-US"/>
        </w:rPr>
        <w:t>.</w:t>
      </w:r>
      <w:r w:rsidR="00293578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0F060B" w:rsidRPr="00A47C46">
        <w:rPr>
          <w:rFonts w:ascii="Arial" w:hAnsi="Arial"/>
          <w:color w:val="000000" w:themeColor="text1"/>
          <w:sz w:val="22"/>
          <w:szCs w:val="22"/>
          <w:lang w:val="en-US"/>
        </w:rPr>
        <w:t xml:space="preserve">Hedef Yatırım Bankası A.Ş., </w:t>
      </w:r>
      <w:r w:rsidR="00584F4E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Q </w:t>
      </w:r>
      <w:r w:rsidR="00584F4E" w:rsidRPr="00A47C46">
        <w:rPr>
          <w:rFonts w:ascii="Arial" w:hAnsi="Arial"/>
          <w:color w:val="000000" w:themeColor="text1"/>
          <w:sz w:val="22"/>
          <w:szCs w:val="22"/>
          <w:lang w:val="en-US"/>
        </w:rPr>
        <w:t>Yatırım Bankası</w:t>
      </w:r>
      <w:r w:rsidR="00584F4E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 A.Ş. and Tera </w:t>
      </w:r>
      <w:r w:rsidR="00584F4E" w:rsidRPr="00A47C46">
        <w:rPr>
          <w:rFonts w:ascii="Arial" w:hAnsi="Arial"/>
          <w:color w:val="000000" w:themeColor="text1"/>
          <w:sz w:val="22"/>
          <w:szCs w:val="22"/>
          <w:lang w:val="en-US"/>
        </w:rPr>
        <w:t>Yatırım Bankası</w:t>
      </w:r>
      <w:r w:rsidR="00584F4E" w:rsidRPr="000F060B">
        <w:rPr>
          <w:rFonts w:ascii="Arial" w:hAnsi="Arial"/>
          <w:color w:val="000000" w:themeColor="text1"/>
          <w:sz w:val="22"/>
          <w:szCs w:val="22"/>
          <w:lang w:val="en-US"/>
        </w:rPr>
        <w:t xml:space="preserve"> A.Ş. have been granted operating licenses</w:t>
      </w:r>
      <w:r w:rsidR="00584F4E" w:rsidRPr="00A47C46">
        <w:rPr>
          <w:rFonts w:ascii="Arial" w:hAnsi="Arial"/>
          <w:color w:val="000000" w:themeColor="text1"/>
          <w:sz w:val="22"/>
          <w:szCs w:val="22"/>
          <w:lang w:val="en-US"/>
        </w:rPr>
        <w:t>.</w:t>
      </w:r>
      <w:r w:rsidR="00174934" w:rsidRPr="00A47C46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</w:p>
    <w:p w:rsidR="00F74E30" w:rsidRPr="00010374" w:rsidRDefault="00F74E30" w:rsidP="00BB55E9">
      <w:pPr>
        <w:ind w:left="1440" w:firstLine="720"/>
        <w:rPr>
          <w:rFonts w:ascii="Arial" w:hAnsi="Arial"/>
          <w:b/>
          <w:color w:val="FF0000"/>
          <w:sz w:val="22"/>
          <w:szCs w:val="22"/>
          <w:lang w:val="en-US"/>
        </w:rPr>
      </w:pPr>
    </w:p>
    <w:p w:rsidR="00EC6DE3" w:rsidRPr="000F060B" w:rsidRDefault="00996DEE" w:rsidP="004B4BF5">
      <w:pPr>
        <w:pStyle w:val="Heading9"/>
        <w:rPr>
          <w:rFonts w:ascii="Arial" w:hAnsi="Arial"/>
          <w:color w:val="000000" w:themeColor="text1"/>
          <w:lang w:val="en-US"/>
        </w:rPr>
      </w:pPr>
      <w:r w:rsidRPr="000F060B">
        <w:rPr>
          <w:rFonts w:ascii="Arial" w:hAnsi="Arial"/>
          <w:color w:val="000000" w:themeColor="text1"/>
          <w:lang w:val="en-US"/>
        </w:rPr>
        <w:t>N</w:t>
      </w:r>
      <w:r w:rsidR="00EC6DE3" w:rsidRPr="000F060B">
        <w:rPr>
          <w:rFonts w:ascii="Arial" w:hAnsi="Arial"/>
          <w:color w:val="000000" w:themeColor="text1"/>
          <w:lang w:val="en-US"/>
        </w:rPr>
        <w:t>umber of B</w:t>
      </w:r>
      <w:r w:rsidR="00982ADE" w:rsidRPr="000F060B">
        <w:rPr>
          <w:rFonts w:ascii="Arial" w:hAnsi="Arial"/>
          <w:color w:val="000000" w:themeColor="text1"/>
          <w:lang w:val="en-US"/>
        </w:rPr>
        <w:t>anks in the System</w:t>
      </w:r>
    </w:p>
    <w:p w:rsidR="00AE7B4B" w:rsidRPr="00B83D90" w:rsidRDefault="00010374" w:rsidP="00AE7B4B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B83D90">
        <w:rPr>
          <w:noProof/>
          <w:color w:val="000000" w:themeColor="text1"/>
          <w:lang w:eastAsia="tr-TR"/>
        </w:rPr>
        <w:drawing>
          <wp:inline distT="0" distB="0" distL="0" distR="0" wp14:anchorId="16563C47" wp14:editId="6F4CE6A8">
            <wp:extent cx="5059045" cy="1648691"/>
            <wp:effectExtent l="0" t="0" r="8255" b="889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6DE3" w:rsidRPr="00B83D90" w:rsidRDefault="003825FF" w:rsidP="00FC4EA3">
      <w:pPr>
        <w:rPr>
          <w:rFonts w:ascii="Arial" w:hAnsi="Arial"/>
          <w:color w:val="000000" w:themeColor="text1"/>
          <w:sz w:val="16"/>
          <w:szCs w:val="16"/>
          <w:lang w:val="en-US"/>
        </w:rPr>
      </w:pPr>
      <w:r w:rsidRPr="00B83D90">
        <w:rPr>
          <w:rFonts w:ascii="Arial" w:hAnsi="Arial"/>
          <w:i/>
          <w:color w:val="000000" w:themeColor="text1"/>
          <w:sz w:val="16"/>
          <w:lang w:val="en-US"/>
        </w:rPr>
        <w:t xml:space="preserve">* </w:t>
      </w:r>
      <w:r w:rsidR="00EC6DE3" w:rsidRPr="00B83D90">
        <w:rPr>
          <w:rFonts w:ascii="Arial" w:hAnsi="Arial"/>
          <w:i/>
          <w:color w:val="000000" w:themeColor="text1"/>
          <w:sz w:val="16"/>
          <w:lang w:val="en-US"/>
        </w:rPr>
        <w:t>Banks under the Deposit Insurance Fund</w:t>
      </w:r>
    </w:p>
    <w:p w:rsidR="008835CB" w:rsidRPr="00B83D90" w:rsidRDefault="008835CB" w:rsidP="008835CB">
      <w:pPr>
        <w:jc w:val="both"/>
        <w:rPr>
          <w:rFonts w:ascii="Arial" w:hAnsi="Arial" w:cs="Arial"/>
          <w:color w:val="000000" w:themeColor="text1"/>
          <w:sz w:val="12"/>
          <w:szCs w:val="12"/>
          <w:lang w:val="en-US"/>
        </w:rPr>
      </w:pPr>
    </w:p>
    <w:p w:rsidR="0024332E" w:rsidRPr="00B83D90" w:rsidRDefault="0024332E" w:rsidP="003F6C5A">
      <w:pPr>
        <w:pStyle w:val="Subtitle"/>
        <w:rPr>
          <w:color w:val="000000" w:themeColor="text1"/>
          <w:lang w:val="en-US"/>
        </w:rPr>
      </w:pPr>
    </w:p>
    <w:p w:rsidR="00EC6DE3" w:rsidRPr="00B83D90" w:rsidRDefault="003F6C5A" w:rsidP="003F6C5A">
      <w:pPr>
        <w:pStyle w:val="Subtitle"/>
        <w:rPr>
          <w:color w:val="000000" w:themeColor="text1"/>
          <w:lang w:val="en-US"/>
        </w:rPr>
      </w:pPr>
      <w:r w:rsidRPr="00B83D90">
        <w:rPr>
          <w:color w:val="000000" w:themeColor="text1"/>
          <w:lang w:val="en-US"/>
        </w:rPr>
        <w:t xml:space="preserve">Number of </w:t>
      </w:r>
      <w:r w:rsidR="000337BF" w:rsidRPr="00B83D90">
        <w:rPr>
          <w:color w:val="000000" w:themeColor="text1"/>
          <w:lang w:val="en-US"/>
        </w:rPr>
        <w:t>E</w:t>
      </w:r>
      <w:r w:rsidR="00EC6DE3" w:rsidRPr="00B83D90">
        <w:rPr>
          <w:color w:val="000000" w:themeColor="text1"/>
          <w:lang w:val="en-US"/>
        </w:rPr>
        <w:t>mployees</w:t>
      </w:r>
      <w:r w:rsidRPr="00B83D90">
        <w:rPr>
          <w:color w:val="000000" w:themeColor="text1"/>
          <w:lang w:val="en-US"/>
        </w:rPr>
        <w:t xml:space="preserve"> </w:t>
      </w:r>
    </w:p>
    <w:p w:rsidR="0066600F" w:rsidRPr="00B83D90" w:rsidRDefault="0066600F" w:rsidP="003F6C5A">
      <w:pPr>
        <w:pStyle w:val="Subtitle"/>
        <w:rPr>
          <w:color w:val="000000" w:themeColor="text1"/>
          <w:sz w:val="12"/>
          <w:szCs w:val="12"/>
          <w:lang w:val="en-US"/>
        </w:rPr>
      </w:pPr>
    </w:p>
    <w:p w:rsidR="000F7651" w:rsidRPr="00B83D90" w:rsidRDefault="006A0843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B83D90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010374" w:rsidRPr="00B83D90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="00640330" w:rsidRPr="00B83D90">
        <w:rPr>
          <w:rFonts w:ascii="Arial" w:hAnsi="Arial"/>
          <w:color w:val="000000" w:themeColor="text1"/>
          <w:sz w:val="22"/>
          <w:szCs w:val="22"/>
          <w:lang w:val="en-US"/>
        </w:rPr>
        <w:t xml:space="preserve"> 2023</w:t>
      </w:r>
      <w:r w:rsidRPr="00B83D90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number of employees </w:t>
      </w:r>
      <w:r w:rsidR="00191359" w:rsidRPr="00B83D90">
        <w:rPr>
          <w:rFonts w:ascii="Arial" w:hAnsi="Arial"/>
          <w:color w:val="000000" w:themeColor="text1"/>
          <w:sz w:val="22"/>
          <w:szCs w:val="22"/>
          <w:lang w:val="en-US"/>
        </w:rPr>
        <w:t xml:space="preserve">in deposit banks and development and investment banks was </w:t>
      </w:r>
      <w:r w:rsidR="00FB05FA" w:rsidRPr="00B83D90">
        <w:rPr>
          <w:rFonts w:ascii="Arial" w:hAnsi="Arial" w:cs="Arial"/>
          <w:color w:val="000000" w:themeColor="text1"/>
          <w:sz w:val="22"/>
          <w:szCs w:val="22"/>
          <w:lang w:val="en-US"/>
        </w:rPr>
        <w:t>18</w:t>
      </w:r>
      <w:r w:rsidR="00010374" w:rsidRPr="00B83D90">
        <w:rPr>
          <w:rFonts w:ascii="Arial" w:hAnsi="Arial" w:cs="Arial"/>
          <w:color w:val="000000" w:themeColor="text1"/>
          <w:sz w:val="22"/>
          <w:szCs w:val="22"/>
          <w:lang w:val="en-US"/>
        </w:rPr>
        <w:t>9</w:t>
      </w:r>
      <w:r w:rsidR="00FB05FA" w:rsidRPr="00B83D90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010374" w:rsidRPr="00B83D90">
        <w:rPr>
          <w:rFonts w:ascii="Arial" w:hAnsi="Arial" w:cs="Arial"/>
          <w:color w:val="000000" w:themeColor="text1"/>
          <w:sz w:val="22"/>
          <w:szCs w:val="22"/>
          <w:lang w:val="en-US"/>
        </w:rPr>
        <w:t>276</w:t>
      </w:r>
      <w:r w:rsidR="0016512A" w:rsidRPr="00B83D9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:rsidR="007978EA" w:rsidRPr="00B83D90" w:rsidRDefault="007978EA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7978EA" w:rsidRPr="00B83D90" w:rsidRDefault="00EC6DE3" w:rsidP="00640330">
      <w:pPr>
        <w:pStyle w:val="Heading9"/>
        <w:rPr>
          <w:rFonts w:ascii="Arial" w:hAnsi="Arial"/>
          <w:color w:val="000000" w:themeColor="text1"/>
          <w:lang w:val="en-US"/>
        </w:rPr>
      </w:pPr>
      <w:r w:rsidRPr="00B83D90">
        <w:rPr>
          <w:rFonts w:ascii="Arial" w:hAnsi="Arial"/>
          <w:color w:val="000000" w:themeColor="text1"/>
          <w:lang w:val="en-US"/>
        </w:rPr>
        <w:t>Number of Employees</w:t>
      </w:r>
    </w:p>
    <w:p w:rsidR="00EC6DE3" w:rsidRPr="00B83D90" w:rsidRDefault="00EC6DE3" w:rsidP="00EC6DE3">
      <w:pPr>
        <w:jc w:val="center"/>
        <w:rPr>
          <w:rFonts w:ascii="Arial" w:hAnsi="Arial"/>
          <w:color w:val="000000" w:themeColor="text1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B83D90" w:rsidRPr="00B83D90" w:rsidTr="00EE57F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C03169" w:rsidRPr="00B83D90" w:rsidRDefault="00C03169" w:rsidP="00C03169">
            <w:pPr>
              <w:jc w:val="center"/>
              <w:rPr>
                <w:rFonts w:ascii="Arial" w:hAnsi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03169" w:rsidRPr="00B83D90" w:rsidRDefault="00010374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B83D90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September</w:t>
            </w:r>
            <w:r w:rsidR="00640330" w:rsidRPr="00B83D90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3169" w:rsidRPr="00B83D90" w:rsidRDefault="00010374" w:rsidP="0001037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B83D90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June</w:t>
            </w:r>
            <w:r w:rsidR="00640330" w:rsidRPr="00B83D90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</w:t>
            </w:r>
            <w:r w:rsidRPr="00B83D90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3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C03169" w:rsidRPr="00B83D90" w:rsidRDefault="00010374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B83D90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September</w:t>
            </w:r>
            <w:r w:rsidR="00640330" w:rsidRPr="00B83D90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2023</w:t>
            </w:r>
          </w:p>
        </w:tc>
      </w:tr>
      <w:tr w:rsidR="00B83D90" w:rsidRPr="00B83D90" w:rsidTr="00373886">
        <w:trPr>
          <w:jc w:val="center"/>
        </w:trPr>
        <w:tc>
          <w:tcPr>
            <w:tcW w:w="2127" w:type="dxa"/>
          </w:tcPr>
          <w:p w:rsidR="00010374" w:rsidRPr="00B83D90" w:rsidRDefault="00010374" w:rsidP="00010374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B83D90">
              <w:rPr>
                <w:rFonts w:ascii="Arial" w:hAnsi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010374" w:rsidRPr="00B83D90" w:rsidRDefault="00010374" w:rsidP="0001037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B83D90">
              <w:rPr>
                <w:rFonts w:ascii="Arial" w:hAnsi="Arial" w:cs="Arial"/>
                <w:color w:val="000000" w:themeColor="text1"/>
                <w:sz w:val="20"/>
              </w:rPr>
              <w:t>181,953</w:t>
            </w:r>
          </w:p>
        </w:tc>
        <w:tc>
          <w:tcPr>
            <w:tcW w:w="1843" w:type="dxa"/>
            <w:vAlign w:val="center"/>
          </w:tcPr>
          <w:p w:rsidR="00010374" w:rsidRPr="00B83D90" w:rsidRDefault="00010374" w:rsidP="0001037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B83D90">
              <w:rPr>
                <w:rFonts w:ascii="Arial" w:hAnsi="Arial" w:cs="Arial"/>
                <w:color w:val="000000" w:themeColor="text1"/>
                <w:sz w:val="20"/>
              </w:rPr>
              <w:t>182,787</w:t>
            </w:r>
          </w:p>
        </w:tc>
        <w:tc>
          <w:tcPr>
            <w:tcW w:w="1758" w:type="dxa"/>
            <w:vAlign w:val="center"/>
          </w:tcPr>
          <w:p w:rsidR="00010374" w:rsidRPr="00B83D90" w:rsidRDefault="00010374" w:rsidP="0001037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B83D90">
              <w:rPr>
                <w:rFonts w:ascii="Arial" w:hAnsi="Arial" w:cs="Arial"/>
                <w:color w:val="000000" w:themeColor="text1"/>
                <w:sz w:val="20"/>
              </w:rPr>
              <w:t>183,149</w:t>
            </w:r>
          </w:p>
        </w:tc>
      </w:tr>
      <w:tr w:rsidR="00B83D90" w:rsidRPr="00B83D90" w:rsidTr="00373886">
        <w:trPr>
          <w:jc w:val="center"/>
        </w:trPr>
        <w:tc>
          <w:tcPr>
            <w:tcW w:w="2127" w:type="dxa"/>
          </w:tcPr>
          <w:p w:rsidR="00010374" w:rsidRPr="00B83D90" w:rsidRDefault="00010374" w:rsidP="00010374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B83D90">
              <w:rPr>
                <w:rFonts w:ascii="Arial" w:hAnsi="Arial"/>
                <w:color w:val="000000" w:themeColor="text1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010374" w:rsidRPr="00B83D90" w:rsidRDefault="00010374" w:rsidP="0001037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B83D90">
              <w:rPr>
                <w:rFonts w:ascii="Arial" w:hAnsi="Arial" w:cs="Arial"/>
                <w:color w:val="000000" w:themeColor="text1"/>
                <w:sz w:val="20"/>
              </w:rPr>
              <w:t>5,633</w:t>
            </w:r>
          </w:p>
        </w:tc>
        <w:tc>
          <w:tcPr>
            <w:tcW w:w="1843" w:type="dxa"/>
            <w:vAlign w:val="center"/>
          </w:tcPr>
          <w:p w:rsidR="00010374" w:rsidRPr="00B83D90" w:rsidRDefault="00010374" w:rsidP="0001037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B83D90">
              <w:rPr>
                <w:rFonts w:ascii="Arial" w:hAnsi="Arial" w:cs="Arial"/>
                <w:color w:val="000000" w:themeColor="text1"/>
                <w:sz w:val="20"/>
              </w:rPr>
              <w:t>6,063</w:t>
            </w:r>
          </w:p>
        </w:tc>
        <w:tc>
          <w:tcPr>
            <w:tcW w:w="1758" w:type="dxa"/>
            <w:vAlign w:val="center"/>
          </w:tcPr>
          <w:p w:rsidR="00010374" w:rsidRPr="00B83D90" w:rsidRDefault="00010374" w:rsidP="0001037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B83D90">
              <w:rPr>
                <w:rFonts w:ascii="Arial" w:hAnsi="Arial" w:cs="Arial"/>
                <w:color w:val="000000" w:themeColor="text1"/>
                <w:sz w:val="20"/>
              </w:rPr>
              <w:t>6,127</w:t>
            </w:r>
          </w:p>
        </w:tc>
      </w:tr>
      <w:tr w:rsidR="00B83D90" w:rsidRPr="00B83D90" w:rsidTr="0037388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010374" w:rsidRPr="00B83D90" w:rsidRDefault="00010374" w:rsidP="00010374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B83D90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10374" w:rsidRPr="00B83D90" w:rsidRDefault="00010374" w:rsidP="0001037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B83D9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187,586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10374" w:rsidRPr="00B83D90" w:rsidRDefault="00010374" w:rsidP="0001037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B83D9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188,850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010374" w:rsidRPr="00B83D90" w:rsidRDefault="00010374" w:rsidP="0001037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B83D9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189,276</w:t>
            </w:r>
          </w:p>
        </w:tc>
      </w:tr>
    </w:tbl>
    <w:p w:rsidR="00B9402E" w:rsidRPr="00B83D90" w:rsidRDefault="00B9402E" w:rsidP="00E113C4">
      <w:pPr>
        <w:jc w:val="both"/>
        <w:rPr>
          <w:rFonts w:ascii="Arial" w:hAnsi="Arial"/>
          <w:color w:val="000000" w:themeColor="text1"/>
          <w:sz w:val="12"/>
          <w:szCs w:val="12"/>
          <w:lang w:val="en-US"/>
        </w:rPr>
      </w:pPr>
    </w:p>
    <w:p w:rsidR="007978EA" w:rsidRPr="00B83D90" w:rsidRDefault="007978EA" w:rsidP="009B41D0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C03169" w:rsidRPr="00B83D90" w:rsidRDefault="00C03169" w:rsidP="009B41D0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E727B2" w:rsidRPr="00B83D90" w:rsidRDefault="00E727B2" w:rsidP="00E727B2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B83D90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employees </w:t>
      </w:r>
      <w:r w:rsidR="00B83D90" w:rsidRPr="00B83D90">
        <w:rPr>
          <w:rFonts w:ascii="Arial" w:hAnsi="Arial"/>
          <w:color w:val="000000" w:themeColor="text1"/>
          <w:sz w:val="22"/>
          <w:szCs w:val="22"/>
          <w:lang w:val="en-US"/>
        </w:rPr>
        <w:t>in</w:t>
      </w:r>
      <w:r w:rsidR="008C30BD" w:rsidRPr="00B83D90">
        <w:rPr>
          <w:rFonts w:ascii="Arial" w:hAnsi="Arial"/>
          <w:color w:val="000000" w:themeColor="text1"/>
          <w:sz w:val="22"/>
          <w:szCs w:val="22"/>
          <w:lang w:val="en-US"/>
        </w:rPr>
        <w:t>crea</w:t>
      </w:r>
      <w:r w:rsidRPr="00B83D90">
        <w:rPr>
          <w:rFonts w:ascii="Arial" w:hAnsi="Arial"/>
          <w:color w:val="000000" w:themeColor="text1"/>
          <w:sz w:val="22"/>
          <w:szCs w:val="22"/>
          <w:lang w:val="en-US"/>
        </w:rPr>
        <w:t xml:space="preserve">sed by </w:t>
      </w:r>
      <w:r w:rsidR="00B83D90" w:rsidRPr="00B83D90">
        <w:rPr>
          <w:rFonts w:ascii="Arial" w:hAnsi="Arial"/>
          <w:color w:val="000000" w:themeColor="text1"/>
          <w:sz w:val="22"/>
          <w:szCs w:val="22"/>
          <w:lang w:val="en-US"/>
        </w:rPr>
        <w:t>426</w:t>
      </w:r>
      <w:r w:rsidRPr="00B83D90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 previous quarter </w:t>
      </w:r>
      <w:r w:rsidR="007C0858" w:rsidRPr="00B83D90">
        <w:rPr>
          <w:rFonts w:ascii="Arial" w:hAnsi="Arial"/>
          <w:color w:val="000000" w:themeColor="text1"/>
          <w:sz w:val="22"/>
          <w:szCs w:val="22"/>
          <w:lang w:val="en-US"/>
        </w:rPr>
        <w:t xml:space="preserve">and by </w:t>
      </w:r>
      <w:r w:rsidR="00B83D90" w:rsidRPr="00B83D90">
        <w:rPr>
          <w:rFonts w:ascii="Arial" w:hAnsi="Arial"/>
          <w:color w:val="000000" w:themeColor="text1"/>
          <w:sz w:val="22"/>
          <w:szCs w:val="22"/>
          <w:lang w:val="en-US"/>
        </w:rPr>
        <w:t>1</w:t>
      </w:r>
      <w:r w:rsidR="00FB05FA" w:rsidRPr="00B83D90">
        <w:rPr>
          <w:rFonts w:ascii="Arial" w:hAnsi="Arial"/>
          <w:color w:val="000000" w:themeColor="text1"/>
          <w:sz w:val="22"/>
          <w:szCs w:val="22"/>
          <w:lang w:val="en-US"/>
        </w:rPr>
        <w:t>,</w:t>
      </w:r>
      <w:r w:rsidR="00B83D90" w:rsidRPr="00B83D90">
        <w:rPr>
          <w:rFonts w:ascii="Arial" w:hAnsi="Arial"/>
          <w:color w:val="000000" w:themeColor="text1"/>
          <w:sz w:val="22"/>
          <w:szCs w:val="22"/>
          <w:lang w:val="en-US"/>
        </w:rPr>
        <w:t xml:space="preserve">690 </w:t>
      </w:r>
      <w:r w:rsidRPr="00B83D90">
        <w:rPr>
          <w:rFonts w:ascii="Arial" w:hAnsi="Arial"/>
          <w:color w:val="000000" w:themeColor="text1"/>
          <w:sz w:val="22"/>
          <w:szCs w:val="22"/>
          <w:lang w:val="en-US"/>
        </w:rPr>
        <w:t>to</w:t>
      </w:r>
      <w:r w:rsidR="00C03169" w:rsidRPr="00B83D90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010374" w:rsidRPr="00B83D90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Pr="00B83D90">
        <w:rPr>
          <w:rFonts w:ascii="Arial" w:hAnsi="Arial"/>
          <w:color w:val="000000" w:themeColor="text1"/>
          <w:sz w:val="22"/>
          <w:szCs w:val="22"/>
          <w:lang w:val="en-US"/>
        </w:rPr>
        <w:t xml:space="preserve"> 202</w:t>
      </w:r>
      <w:r w:rsidR="00640330" w:rsidRPr="00B83D90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Pr="00B83D90">
        <w:rPr>
          <w:rFonts w:ascii="Arial" w:hAnsi="Arial"/>
          <w:color w:val="000000" w:themeColor="text1"/>
          <w:sz w:val="22"/>
          <w:szCs w:val="22"/>
          <w:lang w:val="en-US"/>
        </w:rPr>
        <w:t>.</w:t>
      </w:r>
      <w:r w:rsidR="004A7E35" w:rsidRPr="00B83D90">
        <w:rPr>
          <w:color w:val="000000" w:themeColor="text1"/>
        </w:rPr>
        <w:t xml:space="preserve"> </w:t>
      </w:r>
    </w:p>
    <w:p w:rsidR="007C0858" w:rsidRPr="00B83D90" w:rsidRDefault="007C0858" w:rsidP="007C0858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C0858" w:rsidRPr="00B83D90" w:rsidRDefault="007C0858" w:rsidP="007C0858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B83D90">
        <w:rPr>
          <w:rFonts w:ascii="Arial" w:hAnsi="Arial"/>
          <w:color w:val="000000" w:themeColor="text1"/>
          <w:sz w:val="22"/>
          <w:szCs w:val="22"/>
          <w:lang w:val="en-US"/>
        </w:rPr>
        <w:lastRenderedPageBreak/>
        <w:t xml:space="preserve">The number of employees </w:t>
      </w:r>
      <w:r w:rsidR="00382C51" w:rsidRPr="00B83D90">
        <w:rPr>
          <w:rFonts w:ascii="Arial" w:hAnsi="Arial"/>
          <w:color w:val="000000" w:themeColor="text1"/>
          <w:sz w:val="22"/>
          <w:szCs w:val="22"/>
          <w:lang w:val="en-US"/>
        </w:rPr>
        <w:t>in</w:t>
      </w:r>
      <w:r w:rsidRPr="00B83D90">
        <w:rPr>
          <w:rFonts w:ascii="Arial" w:hAnsi="Arial"/>
          <w:color w:val="000000" w:themeColor="text1"/>
          <w:sz w:val="22"/>
          <w:szCs w:val="22"/>
          <w:lang w:val="en-US"/>
        </w:rPr>
        <w:t xml:space="preserve">creased by </w:t>
      </w:r>
      <w:r w:rsidR="00B83D90" w:rsidRPr="00B83D90">
        <w:rPr>
          <w:rFonts w:ascii="Arial" w:hAnsi="Arial"/>
          <w:color w:val="000000" w:themeColor="text1"/>
          <w:sz w:val="22"/>
          <w:szCs w:val="22"/>
          <w:lang w:val="en-US"/>
        </w:rPr>
        <w:t>1,196</w:t>
      </w:r>
      <w:r w:rsidR="00382C51" w:rsidRPr="00B83D90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Pr="00B83D90">
        <w:rPr>
          <w:rFonts w:ascii="Arial" w:hAnsi="Arial"/>
          <w:color w:val="000000" w:themeColor="text1"/>
          <w:sz w:val="22"/>
          <w:szCs w:val="22"/>
          <w:lang w:val="en-US"/>
        </w:rPr>
        <w:t xml:space="preserve">in deposit banks and by </w:t>
      </w:r>
      <w:r w:rsidR="00B83D90" w:rsidRPr="00B83D90">
        <w:rPr>
          <w:rFonts w:ascii="Arial" w:hAnsi="Arial"/>
          <w:color w:val="000000" w:themeColor="text1"/>
          <w:sz w:val="22"/>
          <w:szCs w:val="22"/>
          <w:lang w:val="en-US"/>
        </w:rPr>
        <w:t>494</w:t>
      </w:r>
      <w:r w:rsidRPr="00B83D90">
        <w:rPr>
          <w:rFonts w:ascii="Arial" w:hAnsi="Arial"/>
          <w:color w:val="000000" w:themeColor="text1"/>
          <w:sz w:val="22"/>
          <w:szCs w:val="22"/>
          <w:lang w:val="en-US"/>
        </w:rPr>
        <w:t xml:space="preserve"> in development and investment banks. </w:t>
      </w:r>
    </w:p>
    <w:p w:rsidR="000F7651" w:rsidRPr="00010374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B83D90" w:rsidRDefault="006F1D37" w:rsidP="000B6A69">
      <w:pPr>
        <w:pStyle w:val="Heading9"/>
        <w:rPr>
          <w:rFonts w:ascii="Arial" w:hAnsi="Arial"/>
          <w:color w:val="000000" w:themeColor="text1"/>
          <w:lang w:val="en-US"/>
        </w:rPr>
      </w:pPr>
      <w:r w:rsidRPr="00B83D90">
        <w:rPr>
          <w:rFonts w:ascii="Arial" w:hAnsi="Arial"/>
          <w:color w:val="000000" w:themeColor="text1"/>
          <w:lang w:val="en-US"/>
        </w:rPr>
        <w:t>Number of Employees</w:t>
      </w:r>
      <w:r w:rsidR="000F5F1A" w:rsidRPr="00B83D90">
        <w:rPr>
          <w:rFonts w:ascii="Arial" w:hAnsi="Arial"/>
          <w:color w:val="000000" w:themeColor="text1"/>
          <w:lang w:val="en-US"/>
        </w:rPr>
        <w:t xml:space="preserve"> </w:t>
      </w:r>
      <w:r w:rsidR="00E06A4C" w:rsidRPr="00B83D90">
        <w:rPr>
          <w:rFonts w:ascii="Arial" w:hAnsi="Arial"/>
          <w:color w:val="000000" w:themeColor="text1"/>
          <w:lang w:val="en-US"/>
        </w:rPr>
        <w:t>(thousand people)</w:t>
      </w:r>
    </w:p>
    <w:p w:rsidR="005B73D0" w:rsidRPr="00010374" w:rsidRDefault="00B83D90" w:rsidP="00BD4F10">
      <w:pPr>
        <w:jc w:val="center"/>
        <w:rPr>
          <w:rFonts w:ascii="Arial" w:hAnsi="Arial"/>
          <w:b/>
          <w:color w:val="FF0000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21C73527" wp14:editId="6B7A2635">
            <wp:extent cx="4860000" cy="2076180"/>
            <wp:effectExtent l="0" t="0" r="0" b="6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1D37" w:rsidRPr="00010374" w:rsidRDefault="006F1D37" w:rsidP="005421C0">
      <w:pPr>
        <w:pStyle w:val="Heading9"/>
        <w:rPr>
          <w:rFonts w:ascii="Arial" w:hAnsi="Arial"/>
          <w:color w:val="FF0000"/>
          <w:sz w:val="10"/>
          <w:szCs w:val="10"/>
          <w:lang w:val="en-US"/>
        </w:rPr>
      </w:pPr>
    </w:p>
    <w:p w:rsidR="00425999" w:rsidRPr="002574F4" w:rsidRDefault="00300FE4" w:rsidP="00425999">
      <w:pPr>
        <w:pStyle w:val="Heading9"/>
        <w:jc w:val="left"/>
        <w:rPr>
          <w:rFonts w:ascii="Arial" w:hAnsi="Arial"/>
          <w:color w:val="000000" w:themeColor="text1"/>
          <w:lang w:val="en-US"/>
        </w:rPr>
      </w:pPr>
      <w:r w:rsidRPr="002574F4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Pr="002574F4">
        <w:rPr>
          <w:rFonts w:ascii="Arial" w:hAnsi="Arial"/>
          <w:color w:val="000000" w:themeColor="text1"/>
          <w:lang w:val="en-US"/>
        </w:rPr>
        <w:t xml:space="preserve">Employees by Gender and </w:t>
      </w:r>
      <w:r w:rsidR="00425999" w:rsidRPr="002574F4">
        <w:rPr>
          <w:rFonts w:ascii="Arial" w:hAnsi="Arial"/>
          <w:color w:val="000000" w:themeColor="text1"/>
          <w:lang w:val="en-US"/>
        </w:rPr>
        <w:t xml:space="preserve">Education Level </w:t>
      </w:r>
    </w:p>
    <w:p w:rsidR="00425999" w:rsidRPr="002574F4" w:rsidRDefault="00425999" w:rsidP="001E1244">
      <w:pPr>
        <w:jc w:val="both"/>
        <w:rPr>
          <w:rFonts w:ascii="Arial" w:hAnsi="Arial"/>
          <w:color w:val="000000" w:themeColor="text1"/>
          <w:sz w:val="16"/>
          <w:szCs w:val="16"/>
          <w:lang w:val="en-US"/>
        </w:rPr>
      </w:pPr>
    </w:p>
    <w:p w:rsidR="00300FE4" w:rsidRPr="002574F4" w:rsidRDefault="001C07FB" w:rsidP="001E1244">
      <w:pPr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</w:pPr>
      <w:r w:rsidRPr="002574F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As of</w:t>
      </w:r>
      <w:r w:rsidR="00300FE4" w:rsidRPr="002574F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010374" w:rsidRPr="002574F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September</w:t>
      </w:r>
      <w:r w:rsidR="00957602" w:rsidRPr="002574F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2023</w:t>
      </w:r>
      <w:r w:rsidR="00B93CFE" w:rsidRPr="002574F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,</w:t>
      </w:r>
      <w:r w:rsidR="00E727B2" w:rsidRPr="002574F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300FE4" w:rsidRPr="002574F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5</w:t>
      </w:r>
      <w:r w:rsidR="0093751D" w:rsidRPr="002574F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0.</w:t>
      </w:r>
      <w:r w:rsidR="00FB05FA" w:rsidRPr="002574F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7</w:t>
      </w:r>
      <w:r w:rsidR="001B1AA9" w:rsidRPr="002574F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300FE4" w:rsidRPr="002574F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percent of the employees were female </w:t>
      </w:r>
      <w:r w:rsidR="00FB05FA" w:rsidRPr="002574F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and 49.3</w:t>
      </w:r>
      <w:r w:rsidR="00B93CFE" w:rsidRPr="002574F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percent were male, </w:t>
      </w:r>
      <w:r w:rsidR="00300FE4" w:rsidRPr="002574F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regarding the distribution of bank employees by gender. </w:t>
      </w:r>
    </w:p>
    <w:p w:rsidR="00300FE4" w:rsidRPr="002574F4" w:rsidRDefault="00300FE4" w:rsidP="001E1244">
      <w:pPr>
        <w:jc w:val="both"/>
        <w:rPr>
          <w:rFonts w:ascii="Arial" w:hAnsi="Arial" w:cs="Arial"/>
          <w:snapToGrid w:val="0"/>
          <w:color w:val="000000" w:themeColor="text1"/>
          <w:sz w:val="16"/>
          <w:szCs w:val="16"/>
          <w:lang w:val="en-US"/>
        </w:rPr>
      </w:pPr>
    </w:p>
    <w:p w:rsidR="001E1244" w:rsidRPr="002574F4" w:rsidRDefault="001E1244" w:rsidP="001E1244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2574F4">
        <w:rPr>
          <w:rFonts w:ascii="Arial" w:hAnsi="Arial"/>
          <w:color w:val="000000" w:themeColor="text1"/>
          <w:sz w:val="22"/>
          <w:szCs w:val="22"/>
          <w:lang w:val="en-US"/>
        </w:rPr>
        <w:t>Regarding the education level of bank employees, 7</w:t>
      </w:r>
      <w:r w:rsidR="002034F7" w:rsidRPr="002574F4">
        <w:rPr>
          <w:rFonts w:ascii="Arial" w:hAnsi="Arial"/>
          <w:color w:val="000000" w:themeColor="text1"/>
          <w:sz w:val="22"/>
          <w:szCs w:val="22"/>
          <w:lang w:val="en-US"/>
        </w:rPr>
        <w:t>9</w:t>
      </w:r>
      <w:r w:rsidR="003D3BA7"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Pr="002574F4">
        <w:rPr>
          <w:rFonts w:ascii="Arial" w:hAnsi="Arial"/>
          <w:color w:val="000000" w:themeColor="text1"/>
          <w:sz w:val="22"/>
          <w:szCs w:val="22"/>
          <w:lang w:val="en-US"/>
        </w:rPr>
        <w:t>percent of the employees had undergraduate degrees</w:t>
      </w:r>
      <w:r w:rsidR="002034F7"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 and 9</w:t>
      </w:r>
      <w:r w:rsidR="00116F15"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postgraduate degrees</w:t>
      </w:r>
      <w:r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, as of </w:t>
      </w:r>
      <w:r w:rsidR="00010374" w:rsidRPr="002574F4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="002034F7"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 2023</w:t>
      </w:r>
      <w:r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. This </w:t>
      </w:r>
      <w:r w:rsidR="00220ED9" w:rsidRPr="002574F4">
        <w:rPr>
          <w:rFonts w:ascii="Arial" w:hAnsi="Arial"/>
          <w:color w:val="000000" w:themeColor="text1"/>
          <w:sz w:val="22"/>
          <w:szCs w:val="22"/>
          <w:lang w:val="en-US"/>
        </w:rPr>
        <w:t>share of</w:t>
      </w:r>
      <w:r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220ED9"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high-school graduates was </w:t>
      </w:r>
      <w:r w:rsidRPr="002574F4">
        <w:rPr>
          <w:rFonts w:ascii="Arial" w:hAnsi="Arial"/>
          <w:color w:val="000000" w:themeColor="text1"/>
          <w:sz w:val="22"/>
          <w:szCs w:val="22"/>
          <w:lang w:val="en-US"/>
        </w:rPr>
        <w:t>1</w:t>
      </w:r>
      <w:r w:rsidR="002034F7" w:rsidRPr="002574F4">
        <w:rPr>
          <w:rFonts w:ascii="Arial" w:hAnsi="Arial"/>
          <w:color w:val="000000" w:themeColor="text1"/>
          <w:sz w:val="22"/>
          <w:szCs w:val="22"/>
          <w:lang w:val="en-US"/>
        </w:rPr>
        <w:t>1</w:t>
      </w:r>
      <w:r w:rsidR="00220ED9"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</w:t>
      </w:r>
      <w:r w:rsidR="003D3BA7" w:rsidRPr="002574F4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1E1244" w:rsidRPr="002574F4" w:rsidRDefault="001E1244" w:rsidP="00B61AF0">
      <w:pPr>
        <w:jc w:val="center"/>
        <w:rPr>
          <w:color w:val="000000" w:themeColor="text1"/>
          <w:sz w:val="22"/>
          <w:szCs w:val="22"/>
          <w:lang w:val="en-US" w:eastAsia="ko-KR"/>
        </w:rPr>
      </w:pPr>
    </w:p>
    <w:p w:rsidR="00AF452C" w:rsidRPr="002574F4" w:rsidRDefault="00300FE4" w:rsidP="00AF452C">
      <w:pPr>
        <w:pStyle w:val="Heading9"/>
        <w:rPr>
          <w:rFonts w:ascii="Arial" w:hAnsi="Arial"/>
          <w:color w:val="000000" w:themeColor="text1"/>
          <w:lang w:val="en-US"/>
        </w:rPr>
      </w:pPr>
      <w:r w:rsidRPr="002574F4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Pr="002574F4">
        <w:rPr>
          <w:rFonts w:ascii="Arial" w:hAnsi="Arial"/>
          <w:color w:val="000000" w:themeColor="text1"/>
          <w:lang w:val="en-US"/>
        </w:rPr>
        <w:t>Employees by Gender</w:t>
      </w:r>
      <w:r w:rsidR="00AF452C" w:rsidRPr="002574F4">
        <w:rPr>
          <w:rFonts w:ascii="Arial" w:hAnsi="Arial"/>
          <w:color w:val="000000" w:themeColor="text1"/>
          <w:lang w:val="en-US"/>
        </w:rPr>
        <w:t xml:space="preserve"> and Education Level</w:t>
      </w:r>
    </w:p>
    <w:p w:rsidR="00AF452C" w:rsidRPr="002574F4" w:rsidRDefault="00300FE4" w:rsidP="00AF452C">
      <w:pPr>
        <w:pStyle w:val="Heading9"/>
        <w:rPr>
          <w:rFonts w:ascii="Arial" w:hAnsi="Arial"/>
          <w:color w:val="000000" w:themeColor="text1"/>
          <w:lang w:val="en-US"/>
        </w:rPr>
      </w:pPr>
      <w:r w:rsidRPr="002574F4">
        <w:rPr>
          <w:rFonts w:ascii="Arial" w:hAnsi="Arial"/>
          <w:color w:val="000000" w:themeColor="text1"/>
          <w:lang w:val="en-US"/>
        </w:rPr>
        <w:t xml:space="preserve"> </w:t>
      </w:r>
    </w:p>
    <w:p w:rsidR="00AF452C" w:rsidRPr="002574F4" w:rsidRDefault="00EE3A50" w:rsidP="00AF452C">
      <w:pPr>
        <w:rPr>
          <w:color w:val="000000" w:themeColor="text1"/>
          <w:lang w:val="en-US" w:eastAsia="tr-TR"/>
        </w:rPr>
      </w:pPr>
      <w:r w:rsidRPr="002574F4">
        <w:rPr>
          <w:noProof/>
          <w:color w:val="000000" w:themeColor="text1"/>
          <w:lang w:eastAsia="tr-TR"/>
        </w:rPr>
        <w:drawing>
          <wp:inline distT="0" distB="0" distL="0" distR="0" wp14:anchorId="46D4CDF8" wp14:editId="5044C048">
            <wp:extent cx="2028825" cy="16954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2574F4">
        <w:rPr>
          <w:noProof/>
          <w:color w:val="000000" w:themeColor="text1"/>
          <w:lang w:eastAsia="tr-TR"/>
        </w:rPr>
        <w:drawing>
          <wp:inline distT="0" distB="0" distL="0" distR="0" wp14:anchorId="383C8105" wp14:editId="66ADD293">
            <wp:extent cx="2647950" cy="1647825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452C" w:rsidRPr="002574F4" w:rsidRDefault="00AF452C" w:rsidP="00AF452C">
      <w:pPr>
        <w:pStyle w:val="Heading9"/>
        <w:rPr>
          <w:rFonts w:ascii="Arial" w:hAnsi="Arial"/>
          <w:color w:val="000000" w:themeColor="text1"/>
          <w:lang w:val="en-US"/>
        </w:rPr>
      </w:pPr>
    </w:p>
    <w:p w:rsidR="005D04BA" w:rsidRPr="002574F4" w:rsidRDefault="005D04BA" w:rsidP="005D04BA">
      <w:pPr>
        <w:pStyle w:val="Heading9"/>
        <w:tabs>
          <w:tab w:val="left" w:pos="504"/>
        </w:tabs>
        <w:jc w:val="left"/>
        <w:rPr>
          <w:rFonts w:ascii="Arial" w:hAnsi="Arial"/>
          <w:color w:val="000000" w:themeColor="text1"/>
          <w:lang w:val="en-US"/>
        </w:rPr>
      </w:pPr>
    </w:p>
    <w:p w:rsidR="00382C51" w:rsidRPr="002574F4" w:rsidRDefault="00CF4D4C" w:rsidP="005D04BA">
      <w:pPr>
        <w:pStyle w:val="Heading9"/>
        <w:tabs>
          <w:tab w:val="left" w:pos="504"/>
        </w:tabs>
        <w:jc w:val="both"/>
        <w:rPr>
          <w:rFonts w:ascii="Arial" w:hAnsi="Arial"/>
          <w:b w:val="0"/>
          <w:color w:val="000000" w:themeColor="text1"/>
          <w:lang w:val="en-US"/>
        </w:rPr>
      </w:pPr>
      <w:r w:rsidRPr="002574F4">
        <w:rPr>
          <w:rFonts w:ascii="Arial" w:hAnsi="Arial" w:cs="Arial"/>
          <w:b w:val="0"/>
          <w:color w:val="000000" w:themeColor="text1"/>
          <w:szCs w:val="22"/>
          <w:lang w:val="en-US"/>
        </w:rPr>
        <w:t xml:space="preserve">The age distribution of employees in the banking sector has been compiled and published by the Banks Association of Turkey since </w:t>
      </w:r>
      <w:r w:rsidR="00220ED9" w:rsidRPr="002574F4">
        <w:rPr>
          <w:rFonts w:ascii="Arial" w:hAnsi="Arial" w:cs="Arial"/>
          <w:b w:val="0"/>
          <w:color w:val="000000" w:themeColor="text1"/>
          <w:szCs w:val="22"/>
          <w:lang w:val="en-US"/>
        </w:rPr>
        <w:t>December 2022</w:t>
      </w:r>
      <w:r w:rsidRPr="002574F4">
        <w:rPr>
          <w:rFonts w:ascii="Arial" w:hAnsi="Arial" w:cs="Arial"/>
          <w:b w:val="0"/>
          <w:color w:val="000000" w:themeColor="text1"/>
          <w:szCs w:val="22"/>
          <w:lang w:val="en-US"/>
        </w:rPr>
        <w:t xml:space="preserve">. Accordingly, 42 percent </w:t>
      </w:r>
      <w:r w:rsidR="00B93CFE" w:rsidRPr="002574F4">
        <w:rPr>
          <w:rFonts w:ascii="Arial" w:hAnsi="Arial" w:cs="Arial"/>
          <w:b w:val="0"/>
          <w:color w:val="000000" w:themeColor="text1"/>
          <w:szCs w:val="22"/>
          <w:lang w:val="en-US"/>
        </w:rPr>
        <w:t xml:space="preserve">of employees </w:t>
      </w:r>
      <w:r w:rsidRPr="002574F4">
        <w:rPr>
          <w:rFonts w:ascii="Arial" w:hAnsi="Arial" w:cs="Arial"/>
          <w:b w:val="0"/>
          <w:color w:val="000000" w:themeColor="text1"/>
          <w:szCs w:val="22"/>
          <w:lang w:val="en-US"/>
        </w:rPr>
        <w:t>ar</w:t>
      </w:r>
      <w:r w:rsidR="00293578">
        <w:rPr>
          <w:rFonts w:ascii="Arial" w:hAnsi="Arial" w:cs="Arial"/>
          <w:b w:val="0"/>
          <w:color w:val="000000" w:themeColor="text1"/>
          <w:szCs w:val="22"/>
          <w:lang w:val="en-US"/>
        </w:rPr>
        <w:t>e in the 36-45 age range, and 39</w:t>
      </w:r>
      <w:r w:rsidRPr="002574F4">
        <w:rPr>
          <w:rFonts w:ascii="Arial" w:hAnsi="Arial" w:cs="Arial"/>
          <w:b w:val="0"/>
          <w:color w:val="000000" w:themeColor="text1"/>
          <w:szCs w:val="22"/>
          <w:lang w:val="en-US"/>
        </w:rPr>
        <w:t xml:space="preserve"> percent are in the 26-35 age range.</w:t>
      </w:r>
    </w:p>
    <w:p w:rsidR="007B5FCE" w:rsidRPr="00010374" w:rsidRDefault="007B5FCE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7B5FCE" w:rsidRPr="00010374" w:rsidRDefault="007B5FCE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7B5FCE" w:rsidRPr="00010374" w:rsidRDefault="007B5FCE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7B5FCE" w:rsidRPr="00010374" w:rsidRDefault="007B5FCE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5D04BA" w:rsidRPr="00010374" w:rsidRDefault="005D04BA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1E508C" w:rsidRPr="00010374" w:rsidRDefault="001E508C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1E508C" w:rsidRPr="00010374" w:rsidRDefault="001E508C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5D04BA" w:rsidRPr="00010374" w:rsidRDefault="005D04BA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FB05FA" w:rsidRPr="00010374" w:rsidRDefault="00FB05FA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382C51" w:rsidRPr="002574F4" w:rsidRDefault="00382C51" w:rsidP="00382C51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2574F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lastRenderedPageBreak/>
        <w:t>Bank Employees by Age (percent)</w:t>
      </w:r>
    </w:p>
    <w:p w:rsidR="00FA5643" w:rsidRPr="00010374" w:rsidRDefault="002574F4" w:rsidP="00E06A4C">
      <w:pPr>
        <w:pStyle w:val="Subtitle"/>
        <w:jc w:val="center"/>
        <w:rPr>
          <w:color w:val="FF0000"/>
          <w:szCs w:val="22"/>
          <w:lang w:val="en-US"/>
        </w:rPr>
      </w:pPr>
      <w:r>
        <w:rPr>
          <w:noProof/>
        </w:rPr>
        <w:drawing>
          <wp:inline distT="0" distB="0" distL="0" distR="0" wp14:anchorId="163BD073" wp14:editId="746B0C4E">
            <wp:extent cx="4814455" cy="1974272"/>
            <wp:effectExtent l="0" t="0" r="5715" b="698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5643" w:rsidRPr="00010374" w:rsidRDefault="00FA5643" w:rsidP="003B53F2">
      <w:pPr>
        <w:pStyle w:val="Subtitle"/>
        <w:rPr>
          <w:color w:val="FF0000"/>
          <w:szCs w:val="22"/>
          <w:lang w:val="en-US"/>
        </w:rPr>
      </w:pPr>
    </w:p>
    <w:p w:rsidR="003B53F2" w:rsidRPr="002574F4" w:rsidRDefault="003B53F2" w:rsidP="003B53F2">
      <w:pPr>
        <w:pStyle w:val="Subtitle"/>
        <w:rPr>
          <w:color w:val="000000" w:themeColor="text1"/>
          <w:szCs w:val="22"/>
          <w:lang w:val="en-US"/>
        </w:rPr>
      </w:pPr>
      <w:r w:rsidRPr="002574F4">
        <w:rPr>
          <w:color w:val="000000" w:themeColor="text1"/>
          <w:szCs w:val="22"/>
          <w:lang w:val="en-US"/>
        </w:rPr>
        <w:t>Number of Branches</w:t>
      </w:r>
    </w:p>
    <w:p w:rsidR="003B53F2" w:rsidRPr="002574F4" w:rsidRDefault="003B53F2" w:rsidP="003B53F2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3B53F2" w:rsidRPr="002574F4" w:rsidRDefault="000F7651" w:rsidP="003B53F2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010374" w:rsidRPr="002574F4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="001E508C"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 2023</w:t>
      </w:r>
      <w:r w:rsidR="003B53F2"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2574F4">
        <w:rPr>
          <w:rFonts w:ascii="Arial" w:hAnsi="Arial"/>
          <w:color w:val="000000" w:themeColor="text1"/>
          <w:sz w:val="22"/>
          <w:szCs w:val="22"/>
          <w:lang w:val="en-US"/>
        </w:rPr>
        <w:t>9,</w:t>
      </w:r>
      <w:r w:rsidR="008C30BD" w:rsidRPr="002574F4">
        <w:rPr>
          <w:rFonts w:ascii="Arial" w:hAnsi="Arial"/>
          <w:color w:val="000000" w:themeColor="text1"/>
          <w:sz w:val="22"/>
          <w:szCs w:val="22"/>
          <w:lang w:val="en-US"/>
        </w:rPr>
        <w:t>6</w:t>
      </w:r>
      <w:r w:rsidR="002574F4" w:rsidRPr="002574F4">
        <w:rPr>
          <w:rFonts w:ascii="Arial" w:hAnsi="Arial"/>
          <w:color w:val="000000" w:themeColor="text1"/>
          <w:sz w:val="22"/>
          <w:szCs w:val="22"/>
          <w:lang w:val="en-US"/>
        </w:rPr>
        <w:t>17</w:t>
      </w:r>
      <w:r w:rsidR="003B53F2"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</w:p>
    <w:p w:rsidR="00CC088E" w:rsidRPr="002574F4" w:rsidRDefault="00CC088E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p w:rsidR="00FC4EA3" w:rsidRPr="002574F4" w:rsidRDefault="005126D8" w:rsidP="003B53F2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2574F4">
        <w:rPr>
          <w:rFonts w:ascii="Arial" w:hAnsi="Arial"/>
          <w:b/>
          <w:color w:val="000000" w:themeColor="text1"/>
          <w:sz w:val="22"/>
          <w:szCs w:val="22"/>
          <w:lang w:val="en-US"/>
        </w:rPr>
        <w:t>Number of Branches*</w:t>
      </w:r>
    </w:p>
    <w:p w:rsidR="005126D8" w:rsidRPr="002574F4" w:rsidRDefault="005126D8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2574F4" w:rsidRPr="002574F4" w:rsidTr="00831A9C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574F4" w:rsidRDefault="001E508C" w:rsidP="001E508C">
            <w:pPr>
              <w:rPr>
                <w:rFonts w:ascii="Calibri" w:hAnsi="Calibri"/>
                <w:color w:val="000000" w:themeColor="text1"/>
                <w:sz w:val="22"/>
                <w:szCs w:val="22"/>
                <w:lang w:val="en-US" w:eastAsia="tr-TR"/>
              </w:rPr>
            </w:pPr>
            <w:r w:rsidRPr="002574F4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574F4" w:rsidRDefault="00010374" w:rsidP="001E508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2574F4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September</w:t>
            </w:r>
            <w:r w:rsidR="001E508C" w:rsidRPr="002574F4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574F4" w:rsidRDefault="00010374" w:rsidP="0001037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2574F4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June</w:t>
            </w:r>
            <w:r w:rsidR="001E508C" w:rsidRPr="002574F4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</w:t>
            </w:r>
            <w:r w:rsidRPr="002574F4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2574F4" w:rsidRDefault="00010374" w:rsidP="001E508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2574F4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September</w:t>
            </w:r>
            <w:r w:rsidR="001E508C" w:rsidRPr="002574F4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2023</w:t>
            </w:r>
          </w:p>
        </w:tc>
      </w:tr>
      <w:tr w:rsidR="002574F4" w:rsidRPr="002574F4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374" w:rsidRPr="002574F4" w:rsidRDefault="00010374" w:rsidP="00010374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2574F4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374" w:rsidRPr="002574F4" w:rsidRDefault="00010374" w:rsidP="0001037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2574F4">
              <w:rPr>
                <w:rFonts w:ascii="Arial" w:hAnsi="Arial" w:cs="Arial"/>
                <w:color w:val="000000" w:themeColor="text1"/>
                <w:sz w:val="20"/>
              </w:rPr>
              <w:t>9.641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374" w:rsidRPr="002574F4" w:rsidRDefault="00010374" w:rsidP="0001037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2574F4">
              <w:rPr>
                <w:rFonts w:ascii="Arial" w:hAnsi="Arial" w:cs="Arial"/>
                <w:color w:val="000000" w:themeColor="text1"/>
                <w:sz w:val="20"/>
              </w:rPr>
              <w:t>9.567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374" w:rsidRPr="002574F4" w:rsidRDefault="00010374" w:rsidP="0001037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2574F4">
              <w:rPr>
                <w:rFonts w:ascii="Arial" w:hAnsi="Arial" w:cs="Arial"/>
                <w:color w:val="000000" w:themeColor="text1"/>
                <w:sz w:val="20"/>
              </w:rPr>
              <w:t>9.544</w:t>
            </w:r>
          </w:p>
        </w:tc>
      </w:tr>
      <w:tr w:rsidR="002574F4" w:rsidRPr="002574F4" w:rsidTr="006C1156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374" w:rsidRPr="002574F4" w:rsidRDefault="00010374" w:rsidP="00010374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2574F4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374" w:rsidRPr="002574F4" w:rsidRDefault="00010374" w:rsidP="0001037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2574F4">
              <w:rPr>
                <w:rFonts w:ascii="Arial" w:hAnsi="Arial" w:cs="Arial"/>
                <w:color w:val="000000" w:themeColor="text1"/>
                <w:sz w:val="2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374" w:rsidRPr="002574F4" w:rsidRDefault="00010374" w:rsidP="0001037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2574F4">
              <w:rPr>
                <w:rFonts w:ascii="Arial" w:hAnsi="Arial" w:cs="Arial"/>
                <w:color w:val="000000" w:themeColor="text1"/>
                <w:sz w:val="20"/>
              </w:rPr>
              <w:t>72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374" w:rsidRPr="002574F4" w:rsidRDefault="00010374" w:rsidP="0001037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2574F4">
              <w:rPr>
                <w:rFonts w:ascii="Arial" w:hAnsi="Arial" w:cs="Arial"/>
                <w:color w:val="000000" w:themeColor="text1"/>
                <w:sz w:val="20"/>
              </w:rPr>
              <w:t>73</w:t>
            </w:r>
          </w:p>
        </w:tc>
      </w:tr>
      <w:tr w:rsidR="002574F4" w:rsidRPr="002574F4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374" w:rsidRPr="002574F4" w:rsidRDefault="00010374" w:rsidP="0001037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2574F4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374" w:rsidRPr="002574F4" w:rsidRDefault="00010374" w:rsidP="0001037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2574F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9.712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374" w:rsidRPr="002574F4" w:rsidRDefault="00010374" w:rsidP="0001037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2574F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9.639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374" w:rsidRPr="002574F4" w:rsidRDefault="00010374" w:rsidP="0001037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2574F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9.617</w:t>
            </w:r>
          </w:p>
        </w:tc>
      </w:tr>
    </w:tbl>
    <w:p w:rsidR="003B53F2" w:rsidRPr="002574F4" w:rsidRDefault="003B53F2" w:rsidP="003B53F2">
      <w:pPr>
        <w:rPr>
          <w:rFonts w:ascii="Arial" w:hAnsi="Arial"/>
          <w:i/>
          <w:color w:val="000000" w:themeColor="text1"/>
          <w:sz w:val="16"/>
          <w:lang w:val="en-US"/>
        </w:rPr>
      </w:pPr>
      <w:r w:rsidRPr="002574F4">
        <w:rPr>
          <w:rFonts w:ascii="Arial" w:hAnsi="Arial"/>
          <w:i/>
          <w:color w:val="000000" w:themeColor="text1"/>
          <w:sz w:val="16"/>
          <w:lang w:val="en-US"/>
        </w:rPr>
        <w:t xml:space="preserve"> * Branches in foreign countries and Turkish Republic of Northern Cyprus are included.</w:t>
      </w:r>
    </w:p>
    <w:p w:rsidR="002D557D" w:rsidRPr="00010374" w:rsidRDefault="002D557D" w:rsidP="00D04C4E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EB02B3" w:rsidRPr="002574F4" w:rsidRDefault="00EB02B3" w:rsidP="00EB02B3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branches decreased by </w:t>
      </w:r>
      <w:r w:rsidR="002574F4" w:rsidRPr="002574F4">
        <w:rPr>
          <w:rFonts w:ascii="Arial" w:hAnsi="Arial"/>
          <w:color w:val="000000" w:themeColor="text1"/>
          <w:sz w:val="22"/>
          <w:szCs w:val="22"/>
          <w:lang w:val="en-US"/>
        </w:rPr>
        <w:t>22</w:t>
      </w:r>
      <w:r w:rsidRPr="002574F4">
        <w:rPr>
          <w:rFonts w:ascii="Arial" w:hAnsi="Arial"/>
          <w:color w:val="000000" w:themeColor="text1"/>
          <w:sz w:val="22"/>
          <w:szCs w:val="22"/>
          <w:lang w:val="en-US"/>
        </w:rPr>
        <w:t>, as c</w:t>
      </w:r>
      <w:r w:rsidR="002574F4" w:rsidRPr="002574F4">
        <w:rPr>
          <w:rFonts w:ascii="Arial" w:hAnsi="Arial"/>
          <w:color w:val="000000" w:themeColor="text1"/>
          <w:sz w:val="22"/>
          <w:szCs w:val="22"/>
          <w:lang w:val="en-US"/>
        </w:rPr>
        <w:t>ompared to previous quarter and</w:t>
      </w:r>
      <w:r w:rsidR="001E508C"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by </w:t>
      </w:r>
      <w:r w:rsidR="00624797">
        <w:rPr>
          <w:rFonts w:ascii="Arial" w:hAnsi="Arial"/>
          <w:color w:val="000000" w:themeColor="text1"/>
          <w:sz w:val="22"/>
          <w:szCs w:val="22"/>
          <w:lang w:val="en-US"/>
        </w:rPr>
        <w:t>95</w:t>
      </w:r>
      <w:bookmarkStart w:id="0" w:name="_GoBack"/>
      <w:bookmarkEnd w:id="0"/>
      <w:r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, as compared to </w:t>
      </w:r>
      <w:r w:rsidR="00010374" w:rsidRPr="002574F4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="001E508C"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 202</w:t>
      </w:r>
      <w:r w:rsidR="002574F4" w:rsidRPr="002574F4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Pr="002574F4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EB02B3" w:rsidRPr="002574F4" w:rsidRDefault="00EB02B3" w:rsidP="00EB02B3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EB02B3" w:rsidRPr="002574F4" w:rsidRDefault="00EB02B3" w:rsidP="00EB02B3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branches per bank </w:t>
      </w:r>
      <w:r w:rsidR="00077C79" w:rsidRPr="002574F4">
        <w:rPr>
          <w:rFonts w:ascii="Arial" w:hAnsi="Arial"/>
          <w:color w:val="000000" w:themeColor="text1"/>
          <w:sz w:val="22"/>
          <w:szCs w:val="22"/>
          <w:lang w:val="en-US"/>
        </w:rPr>
        <w:t>was 27</w:t>
      </w:r>
      <w:r w:rsidR="002574F4" w:rsidRPr="002574F4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077C79"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 in deposit banks at the end o</w:t>
      </w:r>
      <w:r w:rsidR="00F74E30" w:rsidRPr="002574F4">
        <w:rPr>
          <w:rFonts w:ascii="Arial" w:hAnsi="Arial"/>
          <w:color w:val="000000" w:themeColor="text1"/>
          <w:sz w:val="22"/>
          <w:szCs w:val="22"/>
          <w:lang w:val="en-US"/>
        </w:rPr>
        <w:t>f</w:t>
      </w:r>
      <w:r w:rsidR="00077C79"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010374" w:rsidRPr="002574F4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="001E508C"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 2023</w:t>
      </w:r>
      <w:r w:rsidR="00077C79" w:rsidRPr="002574F4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382C51" w:rsidRPr="002574F4" w:rsidRDefault="00382C51" w:rsidP="00EB02B3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3B53F2" w:rsidRPr="002574F4" w:rsidRDefault="000F5F1A" w:rsidP="00EB02B3">
      <w:pPr>
        <w:jc w:val="center"/>
        <w:rPr>
          <w:rFonts w:ascii="Arial" w:hAnsi="Arial"/>
          <w:b/>
          <w:color w:val="000000" w:themeColor="text1"/>
          <w:sz w:val="22"/>
          <w:lang w:val="en-US" w:eastAsia="tr-TR"/>
        </w:rPr>
      </w:pPr>
      <w:r w:rsidRPr="002574F4">
        <w:rPr>
          <w:rFonts w:ascii="Arial" w:hAnsi="Arial"/>
          <w:b/>
          <w:color w:val="000000" w:themeColor="text1"/>
          <w:sz w:val="22"/>
          <w:lang w:val="en-US" w:eastAsia="tr-TR"/>
        </w:rPr>
        <w:t>Number of Branches</w:t>
      </w:r>
      <w:r w:rsidR="0089243E" w:rsidRPr="002574F4">
        <w:rPr>
          <w:rFonts w:ascii="Arial" w:hAnsi="Arial"/>
          <w:b/>
          <w:color w:val="000000" w:themeColor="text1"/>
          <w:sz w:val="22"/>
          <w:lang w:val="en-US" w:eastAsia="tr-TR"/>
        </w:rPr>
        <w:t xml:space="preserve"> </w:t>
      </w:r>
    </w:p>
    <w:p w:rsidR="003B53F2" w:rsidRPr="002574F4" w:rsidRDefault="002574F4" w:rsidP="003B53F2">
      <w:pPr>
        <w:jc w:val="center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2574F4">
        <w:rPr>
          <w:noProof/>
          <w:color w:val="000000" w:themeColor="text1"/>
          <w:lang w:eastAsia="tr-TR"/>
        </w:rPr>
        <w:drawing>
          <wp:inline distT="0" distB="0" distL="0" distR="0" wp14:anchorId="4465D583" wp14:editId="0969D54C">
            <wp:extent cx="4572000" cy="2183129"/>
            <wp:effectExtent l="0" t="0" r="0" b="825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2802" w:rsidRPr="002574F4" w:rsidRDefault="00802802" w:rsidP="007D56A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D56A2" w:rsidRPr="002574F4" w:rsidRDefault="007D56A2" w:rsidP="007D56A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574F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rapid growth of </w:t>
      </w:r>
      <w:r w:rsidR="00064B09" w:rsidRPr="002574F4">
        <w:rPr>
          <w:rFonts w:ascii="Arial" w:hAnsi="Arial" w:cs="Arial"/>
          <w:color w:val="000000" w:themeColor="text1"/>
          <w:sz w:val="22"/>
          <w:szCs w:val="22"/>
          <w:lang w:val="en-US"/>
        </w:rPr>
        <w:t>non-branch</w:t>
      </w:r>
      <w:r w:rsidRPr="002574F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channels and delegation of some services to outsourcing institutions affected the number of employees and branches. </w:t>
      </w:r>
    </w:p>
    <w:p w:rsidR="007B5FCE" w:rsidRPr="00010374" w:rsidRDefault="007B5FCE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:rsidR="007B5FCE" w:rsidRDefault="007B5FCE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:rsidR="002574F4" w:rsidRPr="00010374" w:rsidRDefault="002574F4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:rsidR="00244D70" w:rsidRPr="002574F4" w:rsidRDefault="006F7448" w:rsidP="00244D70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574F4">
        <w:rPr>
          <w:rFonts w:ascii="Arial" w:hAnsi="Arial"/>
          <w:b/>
          <w:color w:val="000000" w:themeColor="text1"/>
          <w:sz w:val="22"/>
          <w:szCs w:val="22"/>
          <w:lang w:val="en-US"/>
        </w:rPr>
        <w:t>Branches and Employees per 100,000 people</w:t>
      </w:r>
    </w:p>
    <w:p w:rsidR="00926B08" w:rsidRPr="002574F4" w:rsidRDefault="00926B08" w:rsidP="00926B08">
      <w:pPr>
        <w:tabs>
          <w:tab w:val="left" w:pos="978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26B08" w:rsidRPr="002574F4" w:rsidRDefault="008601CB" w:rsidP="001E508C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010374" w:rsidRPr="002574F4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="001E508C" w:rsidRPr="002574F4">
        <w:rPr>
          <w:rFonts w:ascii="Arial" w:hAnsi="Arial"/>
          <w:color w:val="000000" w:themeColor="text1"/>
          <w:sz w:val="22"/>
          <w:szCs w:val="22"/>
          <w:lang w:val="en-US"/>
        </w:rPr>
        <w:t xml:space="preserve"> 2023</w:t>
      </w:r>
      <w:r w:rsidR="004170F1" w:rsidRPr="002574F4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6F7448" w:rsidRPr="002574F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employees per </w:t>
      </w:r>
      <w:r w:rsidRPr="002574F4">
        <w:rPr>
          <w:rFonts w:ascii="Arial" w:hAnsi="Arial" w:cs="Arial"/>
          <w:color w:val="000000" w:themeColor="text1"/>
          <w:sz w:val="22"/>
          <w:szCs w:val="22"/>
          <w:lang w:val="en-US"/>
        </w:rPr>
        <w:t>100,000 people was</w:t>
      </w:r>
      <w:r w:rsidR="0024332E" w:rsidRPr="002574F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</w:t>
      </w:r>
      <w:r w:rsidR="008C30BD" w:rsidRPr="002574F4">
        <w:rPr>
          <w:rFonts w:ascii="Arial" w:hAnsi="Arial" w:cs="Arial"/>
          <w:color w:val="000000" w:themeColor="text1"/>
          <w:sz w:val="22"/>
          <w:szCs w:val="22"/>
          <w:lang w:val="en-US"/>
        </w:rPr>
        <w:t>2</w:t>
      </w:r>
      <w:r w:rsidR="002574F4" w:rsidRPr="002574F4">
        <w:rPr>
          <w:rFonts w:ascii="Arial" w:hAnsi="Arial" w:cs="Arial"/>
          <w:color w:val="000000" w:themeColor="text1"/>
          <w:sz w:val="22"/>
          <w:szCs w:val="22"/>
          <w:lang w:val="en-US"/>
        </w:rPr>
        <w:t>2</w:t>
      </w:r>
      <w:r w:rsidR="0024332E" w:rsidRPr="002574F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2574F4">
        <w:rPr>
          <w:rFonts w:ascii="Arial" w:hAnsi="Arial"/>
          <w:color w:val="000000" w:themeColor="text1"/>
          <w:sz w:val="22"/>
          <w:szCs w:val="22"/>
          <w:lang w:val="en-US"/>
        </w:rPr>
        <w:t>and branches</w:t>
      </w:r>
      <w:r w:rsidRPr="002574F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 100,000 people was 1</w:t>
      </w:r>
      <w:r w:rsidR="00F74E30" w:rsidRPr="002574F4">
        <w:rPr>
          <w:rFonts w:ascii="Arial" w:hAnsi="Arial" w:cs="Arial"/>
          <w:color w:val="000000" w:themeColor="text1"/>
          <w:sz w:val="22"/>
          <w:szCs w:val="22"/>
          <w:lang w:val="en-US"/>
        </w:rPr>
        <w:t>1.</w:t>
      </w:r>
      <w:r w:rsidR="00BE078A" w:rsidRPr="002574F4">
        <w:rPr>
          <w:rFonts w:ascii="Arial" w:hAnsi="Arial" w:cs="Arial"/>
          <w:color w:val="000000" w:themeColor="text1"/>
          <w:sz w:val="22"/>
          <w:szCs w:val="22"/>
          <w:lang w:val="en-US"/>
        </w:rPr>
        <w:t>3</w:t>
      </w:r>
      <w:r w:rsidRPr="002574F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7B5FCE" w:rsidRPr="00010374" w:rsidRDefault="007B5FCE" w:rsidP="00244D70">
      <w:pPr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7B5FCE" w:rsidRPr="00010374" w:rsidRDefault="007B5FCE" w:rsidP="00244D70">
      <w:pPr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5126D8" w:rsidRPr="002574F4" w:rsidRDefault="0024332E" w:rsidP="005126D8">
      <w:pPr>
        <w:jc w:val="center"/>
        <w:rPr>
          <w:rFonts w:ascii="Arial" w:hAnsi="Arial" w:cs="Arial"/>
          <w:noProof/>
          <w:color w:val="000000" w:themeColor="text1"/>
          <w:lang w:val="en-US" w:eastAsia="tr-TR"/>
        </w:rPr>
      </w:pPr>
      <w:r w:rsidRPr="002574F4">
        <w:rPr>
          <w:rFonts w:ascii="Arial" w:hAnsi="Arial" w:cs="Arial"/>
          <w:b/>
          <w:color w:val="000000" w:themeColor="text1"/>
          <w:sz w:val="22"/>
          <w:lang w:val="en-US" w:eastAsia="tr-TR"/>
        </w:rPr>
        <w:t>Branches and Employees per 100,000 people</w:t>
      </w:r>
      <w:r w:rsidR="00926BDD" w:rsidRPr="002574F4">
        <w:rPr>
          <w:rFonts w:ascii="Arial" w:hAnsi="Arial" w:cs="Arial"/>
          <w:noProof/>
          <w:color w:val="000000" w:themeColor="text1"/>
          <w:lang w:val="en-US" w:eastAsia="tr-TR"/>
        </w:rPr>
        <w:t xml:space="preserve">* </w:t>
      </w:r>
    </w:p>
    <w:p w:rsidR="00236CCD" w:rsidRPr="00010374" w:rsidRDefault="002574F4" w:rsidP="005126D8">
      <w:pPr>
        <w:jc w:val="center"/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41AECD28" wp14:editId="79262E33">
            <wp:extent cx="4926675" cy="2277135"/>
            <wp:effectExtent l="0" t="0" r="7620" b="889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6BDD" w:rsidRPr="002574F4" w:rsidRDefault="007754DA" w:rsidP="00926BDD">
      <w:pPr>
        <w:jc w:val="both"/>
        <w:rPr>
          <w:rFonts w:ascii="Arial" w:hAnsi="Arial" w:cs="Arial"/>
          <w:color w:val="000000" w:themeColor="text1"/>
          <w:sz w:val="18"/>
          <w:szCs w:val="22"/>
          <w:lang w:val="en-US"/>
        </w:rPr>
      </w:pPr>
      <w:r w:rsidRPr="002574F4">
        <w:rPr>
          <w:rFonts w:ascii="Arial" w:hAnsi="Arial" w:cs="Arial"/>
          <w:color w:val="000000" w:themeColor="text1"/>
          <w:sz w:val="18"/>
          <w:szCs w:val="22"/>
          <w:lang w:val="en-US"/>
        </w:rPr>
        <w:t>*</w:t>
      </w:r>
      <w:r w:rsidR="00926BDD" w:rsidRPr="002574F4">
        <w:rPr>
          <w:rFonts w:ascii="Arial" w:hAnsi="Arial" w:cs="Arial"/>
          <w:color w:val="000000" w:themeColor="text1"/>
          <w:sz w:val="18"/>
          <w:szCs w:val="22"/>
          <w:lang w:val="en-US"/>
        </w:rPr>
        <w:t xml:space="preserve"> 20</w:t>
      </w:r>
      <w:r w:rsidR="000F7651" w:rsidRPr="002574F4">
        <w:rPr>
          <w:rFonts w:ascii="Arial" w:hAnsi="Arial" w:cs="Arial"/>
          <w:color w:val="000000" w:themeColor="text1"/>
          <w:sz w:val="18"/>
          <w:szCs w:val="22"/>
          <w:lang w:val="en-US"/>
        </w:rPr>
        <w:t>2</w:t>
      </w:r>
      <w:r w:rsidR="00BE078A" w:rsidRPr="002574F4">
        <w:rPr>
          <w:rFonts w:ascii="Arial" w:hAnsi="Arial" w:cs="Arial"/>
          <w:color w:val="000000" w:themeColor="text1"/>
          <w:sz w:val="18"/>
          <w:szCs w:val="22"/>
          <w:lang w:val="en-US"/>
        </w:rPr>
        <w:t>2</w:t>
      </w:r>
      <w:r w:rsidR="00926BDD" w:rsidRPr="002574F4">
        <w:rPr>
          <w:rFonts w:ascii="Arial" w:hAnsi="Arial" w:cs="Arial"/>
          <w:color w:val="000000" w:themeColor="text1"/>
          <w:sz w:val="18"/>
          <w:szCs w:val="22"/>
          <w:lang w:val="en-US"/>
        </w:rPr>
        <w:t xml:space="preserve"> population data were used in the </w:t>
      </w:r>
      <w:r w:rsidR="00BE078A" w:rsidRPr="002574F4">
        <w:rPr>
          <w:rFonts w:ascii="Arial" w:hAnsi="Arial" w:cs="Arial"/>
          <w:color w:val="000000" w:themeColor="text1"/>
          <w:sz w:val="18"/>
          <w:szCs w:val="22"/>
          <w:lang w:val="en-US"/>
        </w:rPr>
        <w:t>2023</w:t>
      </w:r>
      <w:r w:rsidR="004B6F89" w:rsidRPr="002574F4">
        <w:rPr>
          <w:rFonts w:ascii="Arial" w:hAnsi="Arial" w:cs="Arial"/>
          <w:color w:val="000000" w:themeColor="text1"/>
          <w:sz w:val="18"/>
          <w:szCs w:val="22"/>
          <w:lang w:val="en-US"/>
        </w:rPr>
        <w:t xml:space="preserve"> </w:t>
      </w:r>
      <w:r w:rsidR="00926BDD" w:rsidRPr="002574F4">
        <w:rPr>
          <w:rFonts w:ascii="Arial" w:hAnsi="Arial" w:cs="Arial"/>
          <w:color w:val="000000" w:themeColor="text1"/>
          <w:sz w:val="18"/>
          <w:szCs w:val="22"/>
          <w:lang w:val="en-US"/>
        </w:rPr>
        <w:t>calculations.</w:t>
      </w:r>
    </w:p>
    <w:p w:rsidR="00926B08" w:rsidRPr="00010374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010374" w:rsidSect="00652A9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74" w:rsidRDefault="003A5F74">
      <w:r>
        <w:separator/>
      </w:r>
    </w:p>
  </w:endnote>
  <w:endnote w:type="continuationSeparator" w:id="0">
    <w:p w:rsidR="003A5F74" w:rsidRDefault="003A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624797">
      <w:rPr>
        <w:rStyle w:val="PageNumber"/>
        <w:rFonts w:ascii="Arial" w:hAnsi="Arial" w:cs="Arial"/>
        <w:noProof/>
        <w:sz w:val="18"/>
        <w:szCs w:val="18"/>
      </w:rPr>
      <w:t>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B83D90">
      <w:rPr>
        <w:rFonts w:ascii="Arial" w:hAnsi="Arial"/>
        <w:sz w:val="18"/>
        <w:lang w:val="en-US"/>
      </w:rPr>
      <w:t>September</w:t>
    </w:r>
    <w:r w:rsidR="00220ED9">
      <w:rPr>
        <w:rFonts w:ascii="Arial" w:hAnsi="Arial"/>
        <w:sz w:val="18"/>
      </w:rPr>
      <w:t xml:space="preserve"> 2023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="00D87CD1">
      <w:rPr>
        <w:rFonts w:ascii="Arial" w:hAnsi="Arial"/>
        <w:sz w:val="18"/>
        <w:lang w:val="en-US"/>
      </w:rPr>
      <w:t>December</w:t>
    </w:r>
    <w:r>
      <w:rPr>
        <w:rFonts w:ascii="Arial" w:hAnsi="Arial"/>
        <w:sz w:val="18"/>
        <w:lang w:val="en-US"/>
      </w:rPr>
      <w:t xml:space="preserve">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74" w:rsidRDefault="003A5F74">
      <w:r>
        <w:separator/>
      </w:r>
    </w:p>
  </w:footnote>
  <w:footnote w:type="continuationSeparator" w:id="0">
    <w:p w:rsidR="003A5F74" w:rsidRDefault="003A5F74">
      <w:r>
        <w:continuationSeparator/>
      </w:r>
    </w:p>
  </w:footnote>
  <w:footnote w:id="1">
    <w:p w:rsidR="00A637F7" w:rsidRPr="000B6A69" w:rsidRDefault="00C23A1D" w:rsidP="006E3E95">
      <w:pPr>
        <w:pStyle w:val="FootnoteText"/>
        <w:jc w:val="both"/>
        <w:rPr>
          <w:rFonts w:ascii="Arial" w:hAnsi="Arial"/>
          <w:sz w:val="16"/>
          <w:szCs w:val="16"/>
          <w:lang w:val="en-US"/>
        </w:rPr>
      </w:pPr>
      <w:r w:rsidRPr="000B6A69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0B6A69">
        <w:rPr>
          <w:rFonts w:ascii="Arial" w:hAnsi="Arial" w:cs="Arial"/>
          <w:sz w:val="16"/>
          <w:szCs w:val="16"/>
          <w:lang w:val="en-US"/>
        </w:rPr>
        <w:t xml:space="preserve"> -</w:t>
      </w:r>
      <w:r w:rsidR="008F1042" w:rsidRPr="000B6A69">
        <w:rPr>
          <w:rFonts w:ascii="Arial" w:hAnsi="Arial" w:cs="Arial"/>
          <w:sz w:val="16"/>
          <w:szCs w:val="16"/>
          <w:lang w:val="en-US"/>
        </w:rPr>
        <w:t xml:space="preserve">The </w:t>
      </w:r>
      <w:r w:rsidRPr="000B6A69">
        <w:rPr>
          <w:rFonts w:ascii="Arial" w:hAnsi="Arial"/>
          <w:sz w:val="16"/>
          <w:szCs w:val="16"/>
          <w:lang w:val="en-US"/>
        </w:rPr>
        <w:t>deposit banks and development and investment banks are included</w:t>
      </w:r>
      <w:r w:rsidR="008F1042" w:rsidRPr="000B6A69">
        <w:rPr>
          <w:rFonts w:ascii="Arial" w:hAnsi="Arial"/>
          <w:sz w:val="16"/>
          <w:szCs w:val="16"/>
          <w:lang w:val="en-US"/>
        </w:rPr>
        <w:t xml:space="preserve"> for the figures of employees and branches.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13C"/>
    <w:rsid w:val="00004188"/>
    <w:rsid w:val="0000466B"/>
    <w:rsid w:val="000050AF"/>
    <w:rsid w:val="000050B9"/>
    <w:rsid w:val="000069DC"/>
    <w:rsid w:val="00006AA5"/>
    <w:rsid w:val="00010374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769A9"/>
    <w:rsid w:val="00077C79"/>
    <w:rsid w:val="000849AA"/>
    <w:rsid w:val="000863FF"/>
    <w:rsid w:val="00086874"/>
    <w:rsid w:val="00087638"/>
    <w:rsid w:val="0009049A"/>
    <w:rsid w:val="00093979"/>
    <w:rsid w:val="00093E22"/>
    <w:rsid w:val="00094AB0"/>
    <w:rsid w:val="00094B92"/>
    <w:rsid w:val="00095340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A69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7F1"/>
    <w:rsid w:val="000C5B28"/>
    <w:rsid w:val="000D0680"/>
    <w:rsid w:val="000D0C29"/>
    <w:rsid w:val="000D1331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060B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57EB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47B76"/>
    <w:rsid w:val="001524A6"/>
    <w:rsid w:val="00152F16"/>
    <w:rsid w:val="0015743F"/>
    <w:rsid w:val="0015793B"/>
    <w:rsid w:val="00164459"/>
    <w:rsid w:val="0016512A"/>
    <w:rsid w:val="00167C0B"/>
    <w:rsid w:val="00174934"/>
    <w:rsid w:val="001802BB"/>
    <w:rsid w:val="00182972"/>
    <w:rsid w:val="00184ADD"/>
    <w:rsid w:val="00185F18"/>
    <w:rsid w:val="00186322"/>
    <w:rsid w:val="001872D3"/>
    <w:rsid w:val="00187ABF"/>
    <w:rsid w:val="001905C0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47CF"/>
    <w:rsid w:val="001A48A4"/>
    <w:rsid w:val="001A5EBC"/>
    <w:rsid w:val="001B0963"/>
    <w:rsid w:val="001B0DE8"/>
    <w:rsid w:val="001B1AA9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E508C"/>
    <w:rsid w:val="001F0378"/>
    <w:rsid w:val="001F05A1"/>
    <w:rsid w:val="001F08A7"/>
    <w:rsid w:val="001F1006"/>
    <w:rsid w:val="001F1342"/>
    <w:rsid w:val="001F146A"/>
    <w:rsid w:val="001F1CAB"/>
    <w:rsid w:val="001F2E66"/>
    <w:rsid w:val="001F3E9F"/>
    <w:rsid w:val="001F493C"/>
    <w:rsid w:val="002021A0"/>
    <w:rsid w:val="002034F7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0ED9"/>
    <w:rsid w:val="00221BC6"/>
    <w:rsid w:val="00231114"/>
    <w:rsid w:val="00235332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574F4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3578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1537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538A"/>
    <w:rsid w:val="00376F74"/>
    <w:rsid w:val="00377BDA"/>
    <w:rsid w:val="003807C3"/>
    <w:rsid w:val="003825FF"/>
    <w:rsid w:val="00382725"/>
    <w:rsid w:val="00382C51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5F74"/>
    <w:rsid w:val="003A718C"/>
    <w:rsid w:val="003A72A0"/>
    <w:rsid w:val="003B050C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424B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A7E35"/>
    <w:rsid w:val="004B18F3"/>
    <w:rsid w:val="004B1D46"/>
    <w:rsid w:val="004B2378"/>
    <w:rsid w:val="004B3A57"/>
    <w:rsid w:val="004B40F3"/>
    <w:rsid w:val="004B4BF5"/>
    <w:rsid w:val="004B5D5E"/>
    <w:rsid w:val="004B63B0"/>
    <w:rsid w:val="004B6EF9"/>
    <w:rsid w:val="004B6F89"/>
    <w:rsid w:val="004C19C1"/>
    <w:rsid w:val="004C1EEA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1F9D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5BD"/>
    <w:rsid w:val="00574E5F"/>
    <w:rsid w:val="00574FFE"/>
    <w:rsid w:val="00575546"/>
    <w:rsid w:val="00575BFB"/>
    <w:rsid w:val="00576D04"/>
    <w:rsid w:val="00577A07"/>
    <w:rsid w:val="0058339E"/>
    <w:rsid w:val="00584F4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04BA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4797"/>
    <w:rsid w:val="006251AB"/>
    <w:rsid w:val="0062539E"/>
    <w:rsid w:val="006261F9"/>
    <w:rsid w:val="006309CF"/>
    <w:rsid w:val="00634029"/>
    <w:rsid w:val="00634250"/>
    <w:rsid w:val="006372CD"/>
    <w:rsid w:val="00640330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719"/>
    <w:rsid w:val="006A0843"/>
    <w:rsid w:val="006A0C48"/>
    <w:rsid w:val="006A123B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156"/>
    <w:rsid w:val="006C1B13"/>
    <w:rsid w:val="006C2F05"/>
    <w:rsid w:val="006C54DB"/>
    <w:rsid w:val="006C7094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086D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54DA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055E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B5FCE"/>
    <w:rsid w:val="007C0858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2802"/>
    <w:rsid w:val="0080379E"/>
    <w:rsid w:val="0081044F"/>
    <w:rsid w:val="0081159C"/>
    <w:rsid w:val="00811BEA"/>
    <w:rsid w:val="00815BBE"/>
    <w:rsid w:val="00817196"/>
    <w:rsid w:val="00823520"/>
    <w:rsid w:val="0082471E"/>
    <w:rsid w:val="00827238"/>
    <w:rsid w:val="0083335C"/>
    <w:rsid w:val="008449F5"/>
    <w:rsid w:val="00844EE9"/>
    <w:rsid w:val="0084584F"/>
    <w:rsid w:val="00846766"/>
    <w:rsid w:val="00847325"/>
    <w:rsid w:val="00847592"/>
    <w:rsid w:val="008508DE"/>
    <w:rsid w:val="00853579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30BD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1042"/>
    <w:rsid w:val="008F2B48"/>
    <w:rsid w:val="008F4CA4"/>
    <w:rsid w:val="008F521C"/>
    <w:rsid w:val="008F5847"/>
    <w:rsid w:val="008F651C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26BDD"/>
    <w:rsid w:val="009321A6"/>
    <w:rsid w:val="00932DFF"/>
    <w:rsid w:val="009368E1"/>
    <w:rsid w:val="0093751D"/>
    <w:rsid w:val="00937638"/>
    <w:rsid w:val="009403BA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6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A7D30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ED1"/>
    <w:rsid w:val="009F1F6D"/>
    <w:rsid w:val="009F2376"/>
    <w:rsid w:val="009F4F3C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47C46"/>
    <w:rsid w:val="00A53D77"/>
    <w:rsid w:val="00A558CE"/>
    <w:rsid w:val="00A6024B"/>
    <w:rsid w:val="00A637F7"/>
    <w:rsid w:val="00A65F89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B3C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176"/>
    <w:rsid w:val="00AE1576"/>
    <w:rsid w:val="00AE2797"/>
    <w:rsid w:val="00AE2F25"/>
    <w:rsid w:val="00AE323B"/>
    <w:rsid w:val="00AE4D5F"/>
    <w:rsid w:val="00AE7B4B"/>
    <w:rsid w:val="00AF3596"/>
    <w:rsid w:val="00AF452C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14FF4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3D90"/>
    <w:rsid w:val="00B84D02"/>
    <w:rsid w:val="00B8565E"/>
    <w:rsid w:val="00B85AFC"/>
    <w:rsid w:val="00B87BFD"/>
    <w:rsid w:val="00B93CFE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78A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3169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A62"/>
    <w:rsid w:val="00C26D0A"/>
    <w:rsid w:val="00C33142"/>
    <w:rsid w:val="00C33AF6"/>
    <w:rsid w:val="00C34AE8"/>
    <w:rsid w:val="00C3691D"/>
    <w:rsid w:val="00C3773A"/>
    <w:rsid w:val="00C3793B"/>
    <w:rsid w:val="00C401ED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5796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8548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128"/>
    <w:rsid w:val="00CC72A9"/>
    <w:rsid w:val="00CD032E"/>
    <w:rsid w:val="00CD2E47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CF4D4C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37FA9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6E83"/>
    <w:rsid w:val="00D57CA8"/>
    <w:rsid w:val="00D622D7"/>
    <w:rsid w:val="00D62DB9"/>
    <w:rsid w:val="00D63169"/>
    <w:rsid w:val="00D6334E"/>
    <w:rsid w:val="00D63502"/>
    <w:rsid w:val="00D638AE"/>
    <w:rsid w:val="00D649C1"/>
    <w:rsid w:val="00D6592D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87CD1"/>
    <w:rsid w:val="00D900D0"/>
    <w:rsid w:val="00D9237E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0FBC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A4C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22F7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7B2"/>
    <w:rsid w:val="00E72F71"/>
    <w:rsid w:val="00E74A75"/>
    <w:rsid w:val="00E770F9"/>
    <w:rsid w:val="00E82660"/>
    <w:rsid w:val="00E83224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2B3"/>
    <w:rsid w:val="00EB0892"/>
    <w:rsid w:val="00EB11BD"/>
    <w:rsid w:val="00EC3031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3A50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3E48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4E30"/>
    <w:rsid w:val="00F75582"/>
    <w:rsid w:val="00F76D1D"/>
    <w:rsid w:val="00F81792"/>
    <w:rsid w:val="00F8271B"/>
    <w:rsid w:val="00F85B0B"/>
    <w:rsid w:val="00F86124"/>
    <w:rsid w:val="00F87EDC"/>
    <w:rsid w:val="00F91A4A"/>
    <w:rsid w:val="00F92584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643"/>
    <w:rsid w:val="00FA5731"/>
    <w:rsid w:val="00FA721F"/>
    <w:rsid w:val="00FB05FA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D5412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257C1B9"/>
  <w15:docId w15:val="{201E8394-956B-46EA-8502-AD527C27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  <w:style w:type="character" w:customStyle="1" w:styleId="jlqj4b">
    <w:name w:val="jlqj4b"/>
    <w:basedOn w:val="DefaultParagraphFont"/>
    <w:rsid w:val="00E7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Eyl&#252;l%202023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Eyl&#252;l%202023\DATA-Grafik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Eyl&#252;l%202023\DATA-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Eyl&#252;l%202023\DATA-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Eyl&#252;l%202023\DATA-Grafik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900860755613647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7C-4544-B483-413ECFC88B1E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98B-4B43-BF80-4F043E81B9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7C-4544-B483-413ECFC88B1E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98B-4B43-BF80-4F043E81B9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7C-4544-B483-413ECFC88B1E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47C-4544-B483-413ECFC88B1E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47C-4544-B483-413ECFC88B1E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17352985798875E-2"/>
                  <c:y val="-3.92993091884595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47C-4544-B483-413ECFC88B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47C-4544-B483-413ECFC88B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1591040"/>
        <c:axId val="71592576"/>
      </c:barChart>
      <c:catAx>
        <c:axId val="715910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1592576"/>
        <c:crosses val="autoZero"/>
        <c:auto val="1"/>
        <c:lblAlgn val="ctr"/>
        <c:lblOffset val="100"/>
        <c:noMultiLvlLbl val="0"/>
      </c:catAx>
      <c:valAx>
        <c:axId val="71592576"/>
        <c:scaling>
          <c:orientation val="minMax"/>
          <c:max val="57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7159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021115645344132"/>
          <c:y val="0.78929485701806534"/>
          <c:w val="0.6870572711861795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grafik'!$C$21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grafik'!$A$29:$A$33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[$-409]mmm\-yy;@">
                  <c:v>45170</c:v>
                </c:pt>
              </c:numCache>
            </c:numRef>
          </c:cat>
          <c:val>
            <c:numRef>
              <c:f>'çalışan grafik'!$C$29:$C$33</c:f>
              <c:numCache>
                <c:formatCode>0.00</c:formatCode>
                <c:ptCount val="5"/>
                <c:pt idx="0">
                  <c:v>188.83699999999999</c:v>
                </c:pt>
                <c:pt idx="1">
                  <c:v>186.61199999999999</c:v>
                </c:pt>
                <c:pt idx="2">
                  <c:v>185.24799999999999</c:v>
                </c:pt>
                <c:pt idx="3">
                  <c:v>188.68700000000001</c:v>
                </c:pt>
                <c:pt idx="4">
                  <c:v>189.27600000000001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95-4803-9F5C-BBB092760D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601536"/>
        <c:axId val="71615616"/>
      </c:barChart>
      <c:catAx>
        <c:axId val="7160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71615616"/>
        <c:crosses val="autoZero"/>
        <c:auto val="1"/>
        <c:lblAlgn val="ctr"/>
        <c:lblOffset val="100"/>
        <c:noMultiLvlLbl val="0"/>
      </c:catAx>
      <c:valAx>
        <c:axId val="71615616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7160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79574568104362"/>
          <c:y val="0"/>
          <c:w val="0.78645865162377093"/>
          <c:h val="0.9735374943687769"/>
        </c:manualLayout>
      </c:layout>
      <c:doughnutChart>
        <c:varyColors val="1"/>
        <c:ser>
          <c:idx val="0"/>
          <c:order val="0"/>
          <c:tx>
            <c:strRef>
              <c:f>'cinsiyet-pay chart'!$A$23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507DFA"/>
            </a:solidFill>
          </c:spPr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3F-4634-A4DB-F0C12B15FFB7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3F-4634-A4DB-F0C12B15FFB7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CA444147-A126-4B3D-A0F1-7B3E5FB0C9D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49.3%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73F-4634-A4DB-F0C12B15FFB7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86EED465-F913-40D5-AC69-996F84CBA09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50.7%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09521521077465"/>
                      <c:h val="0.2849066619481552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73F-4634-A4DB-F0C12B15FFB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'cinsiyet-pay chart'!$B$22:$C$22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'cinsiyet-pay chart'!$B$23:$C$23</c:f>
              <c:numCache>
                <c:formatCode>#,##0</c:formatCode>
                <c:ptCount val="2"/>
                <c:pt idx="0">
                  <c:v>93996</c:v>
                </c:pt>
                <c:pt idx="1">
                  <c:v>97213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3F-4634-A4DB-F0C12B15FFB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D6-4E56-95B7-48E999420722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D6-4E56-95B7-48E999420722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D6-4E56-95B7-48E999420722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4D6-4E56-95B7-48E999420722}"/>
              </c:ext>
            </c:extLst>
          </c:dPt>
          <c:dLbls>
            <c:dLbl>
              <c:idx val="0"/>
              <c:layout/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742049469964666"/>
                      <c:h val="0.2835249042145593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4D6-4E56-95B7-48E999420722}"/>
                </c:ext>
              </c:extLst>
            </c:dLbl>
            <c:dLbl>
              <c:idx val="1"/>
              <c:layout>
                <c:manualLayout>
                  <c:x val="-2.8268551236749116E-2"/>
                  <c:y val="-0.1437403083235285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6266195524146"/>
                      <c:h val="0.296934865900383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4D6-4E56-95B7-48E999420722}"/>
                </c:ext>
              </c:extLst>
            </c:dLbl>
            <c:dLbl>
              <c:idx val="2"/>
              <c:layout>
                <c:manualLayout>
                  <c:x val="-1.9224098754440147E-3"/>
                  <c:y val="-0.1461912088575135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6989584782467561"/>
                      <c:h val="0.354331312034271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64D6-4E56-95B7-48E999420722}"/>
                </c:ext>
              </c:extLst>
            </c:dLbl>
            <c:dLbl>
              <c:idx val="3"/>
              <c:layout>
                <c:manualLayout>
                  <c:x val="7.8797102658987331E-2"/>
                  <c:y val="-2.191570881226053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4D6-4E56-95B7-48E999420722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150.935</c:v>
                </c:pt>
                <c:pt idx="1">
                  <c:v>21.59</c:v>
                </c:pt>
                <c:pt idx="2">
                  <c:v>17.765999999999998</c:v>
                </c:pt>
                <c:pt idx="3">
                  <c:v>0.71799999999999997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4D6-4E56-95B7-48E99942072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Yaş!$A$44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044-4B7F-85D2-6B7F39CEAC3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2605-4281-990E-11E071C935C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605-4281-990E-11E071C935CD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2605-4281-990E-11E071C935CD}"/>
                </c:ext>
              </c:extLst>
            </c:dLbl>
            <c:dLbl>
              <c:idx val="4"/>
              <c:layout>
                <c:manualLayout>
                  <c:x val="6.5696147558156018E-2"/>
                  <c:y val="-3.242630385487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044-4B7F-85D2-6B7F39CEAC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2.5306959149601642</c:v>
                </c:pt>
                <c:pt idx="1">
                  <c:v>16.541981022422284</c:v>
                </c:pt>
                <c:pt idx="2">
                  <c:v>22.446057608994273</c:v>
                </c:pt>
                <c:pt idx="3">
                  <c:v>7.1202899469557686</c:v>
                </c:pt>
                <c:pt idx="4" formatCode="0.0">
                  <c:v>0.61233331220017329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044-4B7F-85D2-6B7F39CEAC3F}"/>
            </c:ext>
          </c:extLst>
        </c:ser>
        <c:ser>
          <c:idx val="1"/>
          <c:order val="1"/>
          <c:tx>
            <c:strRef>
              <c:f>Yaş!$A$45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4044-4B7F-85D2-6B7F39CEAC3F}"/>
                </c:ext>
              </c:extLst>
            </c:dLbl>
            <c:dLbl>
              <c:idx val="4"/>
              <c:layout>
                <c:manualLayout>
                  <c:x val="6.5696147558156018E-2"/>
                  <c:y val="-0.11211281179138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044-4B7F-85D2-6B7F39CEAC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3.7009446522538516</c:v>
                </c:pt>
                <c:pt idx="1">
                  <c:v>21.849574166825164</c:v>
                </c:pt>
                <c:pt idx="2">
                  <c:v>19.901096811006148</c:v>
                </c:pt>
                <c:pt idx="3">
                  <c:v>5.0386736828758005</c:v>
                </c:pt>
                <c:pt idx="4" formatCode="0.0">
                  <c:v>0.25782455250533615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044-4B7F-85D2-6B7F39CEAC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1903872"/>
        <c:axId val="71942528"/>
      </c:barChart>
      <c:catAx>
        <c:axId val="7190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71942528"/>
        <c:crosses val="autoZero"/>
        <c:auto val="1"/>
        <c:lblAlgn val="ctr"/>
        <c:lblOffset val="100"/>
        <c:noMultiLvlLbl val="0"/>
      </c:catAx>
      <c:valAx>
        <c:axId val="71942528"/>
        <c:scaling>
          <c:orientation val="minMax"/>
          <c:max val="45"/>
          <c:min val="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7190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grafik'!$A$33:$A$37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[$-409]mmm\-yy;@">
                  <c:v>45170</c:v>
                </c:pt>
              </c:numCache>
            </c:numRef>
          </c:cat>
          <c:val>
            <c:numRef>
              <c:f>'şube grafik'!$G$33:$G$37</c:f>
              <c:numCache>
                <c:formatCode>General</c:formatCode>
                <c:ptCount val="5"/>
                <c:pt idx="0">
                  <c:v>10.199</c:v>
                </c:pt>
                <c:pt idx="1">
                  <c:v>9.9390000000000001</c:v>
                </c:pt>
                <c:pt idx="2">
                  <c:v>9.7919999999999998</c:v>
                </c:pt>
                <c:pt idx="3">
                  <c:v>9.6609999999999996</c:v>
                </c:pt>
                <c:pt idx="4">
                  <c:v>9.6170000000000009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50-4C1A-BAA5-9485EE84A9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1953408"/>
        <c:axId val="72034176"/>
      </c:barChart>
      <c:catAx>
        <c:axId val="7195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72034176"/>
        <c:crosses val="autoZero"/>
        <c:auto val="1"/>
        <c:lblAlgn val="ctr"/>
        <c:lblOffset val="100"/>
        <c:noMultiLvlLbl val="0"/>
      </c:catAx>
      <c:valAx>
        <c:axId val="720341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1953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göre'!$G$2:$L$2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 formatCode="[$-409]mmm\-yy;@">
                  <c:v>45170</c:v>
                </c:pt>
              </c:numCache>
            </c:numRef>
          </c:cat>
          <c:val>
            <c:numRef>
              <c:f>'nüfusa göre'!$G$3:$L$3</c:f>
              <c:numCache>
                <c:formatCode>0.0</c:formatCode>
                <c:ptCount val="6"/>
                <c:pt idx="0">
                  <c:v>12.748176970451228</c:v>
                </c:pt>
                <c:pt idx="1">
                  <c:v>12.265047643498802</c:v>
                </c:pt>
                <c:pt idx="2">
                  <c:v>11.886713911660296</c:v>
                </c:pt>
                <c:pt idx="3">
                  <c:v>11.563496022267193</c:v>
                </c:pt>
                <c:pt idx="4">
                  <c:v>11.328624107586492</c:v>
                </c:pt>
                <c:pt idx="5">
                  <c:v>11.27702909043156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4F-4EB0-970D-AB7D9F4869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649088"/>
        <c:axId val="82650624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göre'!$G$2:$L$2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 formatCode="[$-409]mmm\-yy;@">
                  <c:v>45170</c:v>
                </c:pt>
              </c:numCache>
            </c:numRef>
          </c:cat>
          <c:val>
            <c:numRef>
              <c:f>'nüfusa göre'!$G$4:$L$4</c:f>
              <c:numCache>
                <c:formatCode>0</c:formatCode>
                <c:ptCount val="6"/>
                <c:pt idx="0">
                  <c:v>234.51694640504945</c:v>
                </c:pt>
                <c:pt idx="1">
                  <c:v>227.09038159186031</c:v>
                </c:pt>
                <c:pt idx="2">
                  <c:v>223.18295031659753</c:v>
                </c:pt>
                <c:pt idx="3">
                  <c:v>218.76169435589799</c:v>
                </c:pt>
                <c:pt idx="4">
                  <c:v>221.25702277074552</c:v>
                </c:pt>
                <c:pt idx="5">
                  <c:v>221.94769243220588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4F-4EB0-970D-AB7D9F4869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653952"/>
        <c:axId val="82652160"/>
      </c:lineChart>
      <c:catAx>
        <c:axId val="8264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2650624"/>
        <c:crosses val="autoZero"/>
        <c:auto val="1"/>
        <c:lblAlgn val="ctr"/>
        <c:lblOffset val="100"/>
        <c:noMultiLvlLbl val="0"/>
      </c:catAx>
      <c:valAx>
        <c:axId val="8265062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2649088"/>
        <c:crosses val="autoZero"/>
        <c:crossBetween val="between"/>
        <c:majorUnit val="1"/>
      </c:valAx>
      <c:valAx>
        <c:axId val="82652160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2653952"/>
        <c:crosses val="max"/>
        <c:crossBetween val="between"/>
        <c:majorUnit val="10"/>
      </c:valAx>
      <c:catAx>
        <c:axId val="826539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26521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0.14224</cdr:x>
      <cdr:y>0.48705</cdr:y>
    </cdr:from>
    <cdr:to>
      <cdr:x>0.58487</cdr:x>
      <cdr:y>0.57575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10630" y="1069323"/>
          <a:ext cx="2211319" cy="19474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  <cdr:relSizeAnchor xmlns:cdr="http://schemas.openxmlformats.org/drawingml/2006/chartDrawing">
    <cdr:from>
      <cdr:x>0.03743</cdr:x>
      <cdr:y>0.41322</cdr:y>
    </cdr:from>
    <cdr:to>
      <cdr:x>0.61755</cdr:x>
      <cdr:y>0.50847</cdr:y>
    </cdr:to>
    <cdr:sp macro="" textlink="">
      <cdr:nvSpPr>
        <cdr:cNvPr id="3" name="Left Brace 2"/>
        <cdr:cNvSpPr/>
      </cdr:nvSpPr>
      <cdr:spPr>
        <a:xfrm xmlns:a="http://schemas.openxmlformats.org/drawingml/2006/main" rot="16200000">
          <a:off x="1578264" y="-707736"/>
          <a:ext cx="157018" cy="2934854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327E-87BC-46B8-952D-00D4135A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Ümit Ünsal</cp:lastModifiedBy>
  <cp:revision>55</cp:revision>
  <cp:lastPrinted>2019-10-25T07:35:00Z</cp:lastPrinted>
  <dcterms:created xsi:type="dcterms:W3CDTF">2022-01-26T11:03:00Z</dcterms:created>
  <dcterms:modified xsi:type="dcterms:W3CDTF">2023-10-30T10:21:00Z</dcterms:modified>
</cp:coreProperties>
</file>