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CF4D4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7978EA" w:rsidRPr="00CF4D4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CF4D4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DD0655" w:rsidRPr="00CF4D4C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CF4D4C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CF4D4C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CF4D4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CF4D4C" w:rsidRDefault="00FA5643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 w:rsidRPr="00CF4D4C">
        <w:rPr>
          <w:rFonts w:ascii="Arial" w:hAnsi="Arial" w:cs="Arial"/>
          <w:color w:val="000000" w:themeColor="text1"/>
          <w:szCs w:val="24"/>
          <w:lang w:val="en-US"/>
        </w:rPr>
        <w:t>June</w:t>
      </w:r>
      <w:r w:rsidR="00F05082" w:rsidRPr="00CF4D4C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 w:rsidR="001A48A4" w:rsidRPr="00CF4D4C">
        <w:rPr>
          <w:rFonts w:ascii="Arial" w:hAnsi="Arial" w:cs="Arial"/>
          <w:color w:val="000000" w:themeColor="text1"/>
          <w:szCs w:val="24"/>
          <w:lang w:val="en-US"/>
        </w:rPr>
        <w:t>22</w:t>
      </w:r>
    </w:p>
    <w:p w:rsidR="00C3793B" w:rsidRPr="00CF4D4C" w:rsidRDefault="00C3793B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7978EA" w:rsidRPr="00CF4D4C" w:rsidRDefault="007978EA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EC6DE3" w:rsidRPr="00CF4D4C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CF4D4C">
        <w:rPr>
          <w:color w:val="000000" w:themeColor="text1"/>
          <w:szCs w:val="22"/>
          <w:lang w:val="en-US"/>
        </w:rPr>
        <w:t>Number of Banks</w:t>
      </w:r>
    </w:p>
    <w:p w:rsidR="00EC6DE3" w:rsidRPr="00CF4D4C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CF4D4C" w:rsidRDefault="00576D04" w:rsidP="00095340">
      <w:pPr>
        <w:spacing w:before="120" w:after="120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CF4D4C">
        <w:rPr>
          <w:rFonts w:ascii="Arial" w:hAnsi="Arial"/>
          <w:noProof/>
          <w:color w:val="000000" w:themeColor="text1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9E33E1" wp14:editId="44390492">
                <wp:simplePos x="0" y="0"/>
                <wp:positionH relativeFrom="column">
                  <wp:posOffset>1599883</wp:posOffset>
                </wp:positionH>
                <wp:positionV relativeFrom="paragraph">
                  <wp:posOffset>308928</wp:posOffset>
                </wp:positionV>
                <wp:extent cx="137795" cy="2896872"/>
                <wp:effectExtent l="0" t="7937" r="25717" b="101918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37795" cy="2896872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07E3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26pt;margin-top:24.35pt;width:10.85pt;height:228.1pt;rotation:90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" adj="86" strokecolor="red" strokeweight="1.5pt">
                <v:stroke joinstyle="miter"/>
              </v:shape>
            </w:pict>
          </mc:Fallback>
        </mc:AlternateContent>
      </w:r>
      <w:r w:rsidR="00EC6DE3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CF4D4C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CF4D4C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CD2E47" w:rsidRPr="00CF4D4C">
        <w:rPr>
          <w:rFonts w:ascii="Arial" w:hAnsi="Arial"/>
          <w:color w:val="000000" w:themeColor="text1"/>
          <w:sz w:val="22"/>
          <w:szCs w:val="22"/>
          <w:lang w:val="en-US"/>
        </w:rPr>
        <w:t>7</w:t>
      </w:r>
      <w:r w:rsidR="006E45EF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FA5643" w:rsidRPr="00CF4D4C">
        <w:rPr>
          <w:rFonts w:ascii="Arial" w:hAnsi="Arial"/>
          <w:color w:val="000000" w:themeColor="text1"/>
          <w:sz w:val="22"/>
          <w:szCs w:val="22"/>
          <w:lang w:val="en-US"/>
        </w:rPr>
        <w:t>June</w:t>
      </w:r>
      <w:r w:rsidR="00F74E30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2022</w:t>
      </w:r>
      <w:r w:rsidR="00F21E0F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CF4D4C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F74E30" w:rsidRPr="00CF4D4C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EC6DE3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CF4D4C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</w:t>
      </w:r>
      <w:r w:rsidR="00F74E30" w:rsidRPr="00CF4D4C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in </w:t>
      </w:r>
      <w:r w:rsidR="00682C5D" w:rsidRPr="00CF4D4C">
        <w:rPr>
          <w:rFonts w:ascii="Arial" w:hAnsi="Arial"/>
          <w:color w:val="000000" w:themeColor="text1"/>
          <w:sz w:val="22"/>
          <w:szCs w:val="22"/>
          <w:lang w:val="en-US"/>
        </w:rPr>
        <w:t>development and investment banks</w:t>
      </w:r>
      <w:r w:rsidR="00823520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CF4D4C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CF4D4C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  <w:r w:rsidR="00095340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E727B2" w:rsidRPr="00CF4D4C">
        <w:rPr>
          <w:rFonts w:ascii="Arial" w:hAnsi="Arial"/>
          <w:color w:val="000000" w:themeColor="text1"/>
          <w:sz w:val="22"/>
          <w:szCs w:val="22"/>
          <w:lang w:val="en-US"/>
        </w:rPr>
        <w:t>Operating</w:t>
      </w:r>
      <w:r w:rsidR="00F74E30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licenses have been granted to </w:t>
      </w:r>
      <w:r w:rsidR="00E727B2" w:rsidRPr="00CF4D4C">
        <w:rPr>
          <w:rFonts w:ascii="Arial" w:hAnsi="Arial"/>
          <w:color w:val="000000" w:themeColor="text1"/>
          <w:sz w:val="22"/>
          <w:szCs w:val="22"/>
          <w:lang w:val="en-US"/>
        </w:rPr>
        <w:t>Destek Yatırım Bankası A.Ş.</w:t>
      </w:r>
      <w:r w:rsidR="00F74E30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at January 2022</w:t>
      </w:r>
    </w:p>
    <w:p w:rsidR="00F74E30" w:rsidRPr="00CF4D4C" w:rsidRDefault="00F74E30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</w:p>
    <w:p w:rsidR="00EC6DE3" w:rsidRPr="00CF4D4C" w:rsidRDefault="00996DEE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CF4D4C">
        <w:rPr>
          <w:rFonts w:ascii="Arial" w:hAnsi="Arial"/>
          <w:b/>
          <w:color w:val="000000" w:themeColor="text1"/>
          <w:sz w:val="22"/>
          <w:szCs w:val="22"/>
          <w:lang w:val="en-US"/>
        </w:rPr>
        <w:t>N</w:t>
      </w:r>
      <w:r w:rsidR="00EC6DE3" w:rsidRPr="00CF4D4C">
        <w:rPr>
          <w:rFonts w:ascii="Arial" w:hAnsi="Arial"/>
          <w:b/>
          <w:color w:val="000000" w:themeColor="text1"/>
          <w:sz w:val="22"/>
          <w:szCs w:val="22"/>
          <w:lang w:val="en-US"/>
        </w:rPr>
        <w:t>umber of B</w:t>
      </w:r>
      <w:r w:rsidR="00982ADE" w:rsidRPr="00CF4D4C">
        <w:rPr>
          <w:rFonts w:ascii="Arial" w:hAnsi="Arial"/>
          <w:b/>
          <w:color w:val="000000" w:themeColor="text1"/>
          <w:sz w:val="22"/>
          <w:szCs w:val="22"/>
          <w:lang w:val="en-US"/>
        </w:rPr>
        <w:t>anks in the System</w:t>
      </w:r>
    </w:p>
    <w:p w:rsidR="00AE7B4B" w:rsidRPr="00CF4D4C" w:rsidRDefault="00CD2E47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CF4D4C">
        <w:rPr>
          <w:noProof/>
          <w:color w:val="000000" w:themeColor="text1"/>
          <w:lang w:eastAsia="tr-TR"/>
        </w:rPr>
        <w:drawing>
          <wp:inline distT="0" distB="0" distL="0" distR="0" wp14:anchorId="0BE9AE1D" wp14:editId="41405DB2">
            <wp:extent cx="5059045" cy="1356995"/>
            <wp:effectExtent l="0" t="0" r="8255" b="146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CF4D4C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CF4D4C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CF4D4C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CF4D4C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CF4D4C" w:rsidRDefault="0024332E" w:rsidP="003F6C5A">
      <w:pPr>
        <w:pStyle w:val="Subtitle"/>
        <w:rPr>
          <w:color w:val="FF0000"/>
          <w:lang w:val="en-US"/>
        </w:rPr>
      </w:pPr>
    </w:p>
    <w:p w:rsidR="00EC6DE3" w:rsidRPr="00CF4D4C" w:rsidRDefault="003F6C5A" w:rsidP="003F6C5A">
      <w:pPr>
        <w:pStyle w:val="Subtitle"/>
        <w:rPr>
          <w:color w:val="000000" w:themeColor="text1"/>
          <w:lang w:val="en-US"/>
        </w:rPr>
      </w:pPr>
      <w:r w:rsidRPr="00CF4D4C">
        <w:rPr>
          <w:color w:val="000000" w:themeColor="text1"/>
          <w:lang w:val="en-US"/>
        </w:rPr>
        <w:t xml:space="preserve">Number of </w:t>
      </w:r>
      <w:r w:rsidR="000337BF" w:rsidRPr="00CF4D4C">
        <w:rPr>
          <w:color w:val="000000" w:themeColor="text1"/>
          <w:lang w:val="en-US"/>
        </w:rPr>
        <w:t>E</w:t>
      </w:r>
      <w:r w:rsidR="00EC6DE3" w:rsidRPr="00CF4D4C">
        <w:rPr>
          <w:color w:val="000000" w:themeColor="text1"/>
          <w:lang w:val="en-US"/>
        </w:rPr>
        <w:t>mployees</w:t>
      </w:r>
      <w:r w:rsidRPr="00CF4D4C">
        <w:rPr>
          <w:color w:val="000000" w:themeColor="text1"/>
          <w:lang w:val="en-US"/>
        </w:rPr>
        <w:t xml:space="preserve"> </w:t>
      </w:r>
    </w:p>
    <w:p w:rsidR="0066600F" w:rsidRPr="00CF4D4C" w:rsidRDefault="0066600F" w:rsidP="003F6C5A">
      <w:pPr>
        <w:pStyle w:val="Subtitle"/>
        <w:rPr>
          <w:color w:val="000000" w:themeColor="text1"/>
          <w:sz w:val="12"/>
          <w:szCs w:val="12"/>
          <w:lang w:val="en-US"/>
        </w:rPr>
      </w:pPr>
    </w:p>
    <w:p w:rsidR="000F7651" w:rsidRPr="00CF4D4C" w:rsidRDefault="006A0843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FA5643" w:rsidRPr="00CF4D4C">
        <w:rPr>
          <w:rFonts w:ascii="Arial" w:hAnsi="Arial"/>
          <w:color w:val="000000" w:themeColor="text1"/>
          <w:sz w:val="22"/>
          <w:szCs w:val="22"/>
          <w:lang w:val="en-US"/>
        </w:rPr>
        <w:t>June</w:t>
      </w:r>
      <w:r w:rsidR="00C03169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AE7B4B" w:rsidRPr="00CF4D4C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="000F7651" w:rsidRPr="00CF4D4C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C03169" w:rsidRPr="00CF4D4C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C03169"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>185</w:t>
      </w:r>
      <w:r w:rsidR="00FA5643"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>,656</w:t>
      </w:r>
      <w:r w:rsidR="00191359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:rsidR="007978EA" w:rsidRPr="00CF4D4C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B0797C" w:rsidRPr="00CF4D4C" w:rsidRDefault="00EC6DE3" w:rsidP="00F5603B">
      <w:pPr>
        <w:pStyle w:val="Heading9"/>
        <w:rPr>
          <w:rFonts w:ascii="Arial" w:hAnsi="Arial"/>
          <w:color w:val="000000" w:themeColor="text1"/>
          <w:lang w:val="en-US"/>
        </w:rPr>
      </w:pPr>
      <w:r w:rsidRPr="00CF4D4C">
        <w:rPr>
          <w:rFonts w:ascii="Arial" w:hAnsi="Arial"/>
          <w:color w:val="000000" w:themeColor="text1"/>
          <w:lang w:val="en-US"/>
        </w:rPr>
        <w:t>Number of Employees</w:t>
      </w:r>
    </w:p>
    <w:p w:rsidR="007978EA" w:rsidRPr="00CF4D4C" w:rsidRDefault="007978EA" w:rsidP="007978EA">
      <w:pPr>
        <w:rPr>
          <w:color w:val="000000" w:themeColor="text1"/>
          <w:lang w:val="en-US" w:eastAsia="tr-TR"/>
        </w:rPr>
      </w:pPr>
    </w:p>
    <w:p w:rsidR="00EC6DE3" w:rsidRPr="00CF4D4C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FA5643" w:rsidRPr="00CF4D4C" w:rsidTr="00EE57F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C03169" w:rsidRPr="00CF4D4C" w:rsidRDefault="00C03169" w:rsidP="00C03169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03169" w:rsidRPr="00CF4D4C" w:rsidRDefault="00FA5643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June</w:t>
            </w:r>
            <w:r w:rsidR="00C03169"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3169" w:rsidRPr="00CF4D4C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 2021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03169" w:rsidRPr="00CF4D4C" w:rsidRDefault="00FA5643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June</w:t>
            </w:r>
            <w:r w:rsidR="00C03169"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2022</w:t>
            </w:r>
          </w:p>
        </w:tc>
      </w:tr>
      <w:tr w:rsidR="00FA5643" w:rsidRPr="00CF4D4C" w:rsidTr="00373886">
        <w:trPr>
          <w:jc w:val="center"/>
        </w:trPr>
        <w:tc>
          <w:tcPr>
            <w:tcW w:w="2127" w:type="dxa"/>
          </w:tcPr>
          <w:p w:rsidR="00FA5643" w:rsidRPr="00CF4D4C" w:rsidRDefault="00FA5643" w:rsidP="00FA5643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 w:eastAsia="tr-TR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180,019</w:t>
            </w:r>
          </w:p>
        </w:tc>
        <w:tc>
          <w:tcPr>
            <w:tcW w:w="1843" w:type="dxa"/>
            <w:vAlign w:val="center"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179,681</w:t>
            </w:r>
          </w:p>
        </w:tc>
        <w:tc>
          <w:tcPr>
            <w:tcW w:w="1758" w:type="dxa"/>
            <w:vAlign w:val="center"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180,098</w:t>
            </w:r>
          </w:p>
        </w:tc>
      </w:tr>
      <w:tr w:rsidR="00FA5643" w:rsidRPr="00CF4D4C" w:rsidTr="00373886">
        <w:trPr>
          <w:jc w:val="center"/>
        </w:trPr>
        <w:tc>
          <w:tcPr>
            <w:tcW w:w="2127" w:type="dxa"/>
          </w:tcPr>
          <w:p w:rsidR="00FA5643" w:rsidRPr="00CF4D4C" w:rsidRDefault="00FA5643" w:rsidP="00FA5643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5,096</w:t>
            </w:r>
          </w:p>
        </w:tc>
        <w:tc>
          <w:tcPr>
            <w:tcW w:w="1843" w:type="dxa"/>
            <w:vAlign w:val="center"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5,567</w:t>
            </w:r>
          </w:p>
        </w:tc>
        <w:tc>
          <w:tcPr>
            <w:tcW w:w="1758" w:type="dxa"/>
            <w:vAlign w:val="center"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5,558</w:t>
            </w:r>
          </w:p>
        </w:tc>
      </w:tr>
      <w:tr w:rsidR="00FA5643" w:rsidRPr="00CF4D4C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FA5643" w:rsidRPr="00CF4D4C" w:rsidRDefault="00FA5643" w:rsidP="00FA5643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185,115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185,248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185,656</w:t>
            </w:r>
          </w:p>
        </w:tc>
      </w:tr>
    </w:tbl>
    <w:p w:rsidR="00B9402E" w:rsidRPr="00CF4D4C" w:rsidRDefault="00B9402E" w:rsidP="00E113C4">
      <w:pPr>
        <w:jc w:val="both"/>
        <w:rPr>
          <w:rFonts w:ascii="Arial" w:hAnsi="Arial"/>
          <w:color w:val="000000" w:themeColor="text1"/>
          <w:sz w:val="12"/>
          <w:szCs w:val="12"/>
          <w:lang w:val="en-US"/>
        </w:rPr>
      </w:pPr>
    </w:p>
    <w:p w:rsidR="007978EA" w:rsidRPr="00CF4D4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C03169" w:rsidRPr="00CF4D4C" w:rsidRDefault="00C03169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E727B2" w:rsidRPr="00CF4D4C" w:rsidRDefault="00E727B2" w:rsidP="00E727B2">
      <w:pPr>
        <w:jc w:val="both"/>
        <w:rPr>
          <w:rFonts w:ascii="Arial" w:hAnsi="Arial"/>
          <w:sz w:val="22"/>
          <w:szCs w:val="22"/>
          <w:lang w:val="en-US"/>
        </w:rPr>
      </w:pPr>
      <w:r w:rsidRPr="00CF4D4C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382C51" w:rsidRPr="00CF4D4C">
        <w:rPr>
          <w:rFonts w:ascii="Arial" w:hAnsi="Arial"/>
          <w:sz w:val="22"/>
          <w:szCs w:val="22"/>
          <w:lang w:val="en-US"/>
        </w:rPr>
        <w:t>in</w:t>
      </w:r>
      <w:r w:rsidRPr="00CF4D4C">
        <w:rPr>
          <w:rFonts w:ascii="Arial" w:hAnsi="Arial"/>
          <w:sz w:val="22"/>
          <w:szCs w:val="22"/>
          <w:lang w:val="en-US"/>
        </w:rPr>
        <w:t xml:space="preserve">creased by </w:t>
      </w:r>
      <w:r w:rsidR="00382C51" w:rsidRPr="00CF4D4C">
        <w:rPr>
          <w:rFonts w:ascii="Arial" w:hAnsi="Arial"/>
          <w:sz w:val="22"/>
          <w:szCs w:val="22"/>
          <w:lang w:val="en-US"/>
        </w:rPr>
        <w:t>656</w:t>
      </w:r>
      <w:r w:rsidRPr="00CF4D4C">
        <w:rPr>
          <w:rFonts w:ascii="Arial" w:hAnsi="Arial"/>
          <w:sz w:val="22"/>
          <w:szCs w:val="22"/>
          <w:lang w:val="en-US"/>
        </w:rPr>
        <w:t xml:space="preserve"> as compared to previous quarter </w:t>
      </w:r>
      <w:r w:rsidR="007C0858" w:rsidRPr="00CF4D4C">
        <w:rPr>
          <w:rFonts w:ascii="Arial" w:hAnsi="Arial"/>
          <w:sz w:val="22"/>
          <w:szCs w:val="22"/>
          <w:lang w:val="en-US"/>
        </w:rPr>
        <w:t xml:space="preserve">and by </w:t>
      </w:r>
      <w:r w:rsidR="00382C51" w:rsidRPr="00CF4D4C">
        <w:rPr>
          <w:rFonts w:ascii="Arial" w:hAnsi="Arial"/>
          <w:sz w:val="22"/>
          <w:szCs w:val="22"/>
          <w:lang w:val="en-US"/>
        </w:rPr>
        <w:t>541 (0.3 percent)</w:t>
      </w:r>
      <w:r w:rsidRPr="00CF4D4C">
        <w:rPr>
          <w:rFonts w:ascii="Arial" w:hAnsi="Arial"/>
          <w:sz w:val="22"/>
          <w:szCs w:val="22"/>
          <w:lang w:val="en-US"/>
        </w:rPr>
        <w:t xml:space="preserve"> as compared to</w:t>
      </w:r>
      <w:r w:rsidR="00C03169" w:rsidRPr="00CF4D4C">
        <w:rPr>
          <w:rFonts w:ascii="Arial" w:hAnsi="Arial"/>
          <w:sz w:val="22"/>
          <w:szCs w:val="22"/>
          <w:lang w:val="en-US"/>
        </w:rPr>
        <w:t xml:space="preserve"> </w:t>
      </w:r>
      <w:r w:rsidR="00FA5643" w:rsidRPr="00CF4D4C">
        <w:rPr>
          <w:rFonts w:ascii="Arial" w:hAnsi="Arial"/>
          <w:sz w:val="22"/>
          <w:szCs w:val="22"/>
          <w:lang w:val="en-US"/>
        </w:rPr>
        <w:t>June</w:t>
      </w:r>
      <w:r w:rsidRPr="00CF4D4C">
        <w:rPr>
          <w:rFonts w:ascii="Arial" w:hAnsi="Arial"/>
          <w:sz w:val="22"/>
          <w:szCs w:val="22"/>
          <w:lang w:val="en-US"/>
        </w:rPr>
        <w:t xml:space="preserve"> 202</w:t>
      </w:r>
      <w:r w:rsidR="00C03169" w:rsidRPr="00CF4D4C">
        <w:rPr>
          <w:rFonts w:ascii="Arial" w:hAnsi="Arial"/>
          <w:sz w:val="22"/>
          <w:szCs w:val="22"/>
          <w:lang w:val="en-US"/>
        </w:rPr>
        <w:t>1</w:t>
      </w:r>
      <w:r w:rsidRPr="00CF4D4C">
        <w:rPr>
          <w:rFonts w:ascii="Arial" w:hAnsi="Arial"/>
          <w:sz w:val="22"/>
          <w:szCs w:val="22"/>
          <w:lang w:val="en-US"/>
        </w:rPr>
        <w:t>.</w:t>
      </w:r>
    </w:p>
    <w:p w:rsidR="007C0858" w:rsidRPr="00CF4D4C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C0858" w:rsidRPr="00CF4D4C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F4D4C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382C51" w:rsidRPr="00CF4D4C">
        <w:rPr>
          <w:rFonts w:ascii="Arial" w:hAnsi="Arial"/>
          <w:sz w:val="22"/>
          <w:szCs w:val="22"/>
          <w:lang w:val="en-US"/>
        </w:rPr>
        <w:t>in</w:t>
      </w:r>
      <w:r w:rsidRPr="00CF4D4C">
        <w:rPr>
          <w:rFonts w:ascii="Arial" w:hAnsi="Arial"/>
          <w:sz w:val="22"/>
          <w:szCs w:val="22"/>
          <w:lang w:val="en-US"/>
        </w:rPr>
        <w:t xml:space="preserve">creased by </w:t>
      </w:r>
      <w:r w:rsidR="00382C51" w:rsidRPr="00CF4D4C">
        <w:rPr>
          <w:rFonts w:ascii="Arial" w:hAnsi="Arial"/>
          <w:sz w:val="22"/>
          <w:szCs w:val="22"/>
          <w:lang w:val="en-US"/>
        </w:rPr>
        <w:t xml:space="preserve">79 </w:t>
      </w:r>
      <w:r w:rsidRPr="00CF4D4C">
        <w:rPr>
          <w:rFonts w:ascii="Arial" w:hAnsi="Arial"/>
          <w:sz w:val="22"/>
          <w:szCs w:val="22"/>
          <w:lang w:val="en-US"/>
        </w:rPr>
        <w:t xml:space="preserve">in deposit banks and by </w:t>
      </w:r>
      <w:r w:rsidR="00382C51" w:rsidRPr="00CF4D4C">
        <w:rPr>
          <w:rFonts w:ascii="Arial" w:hAnsi="Arial"/>
          <w:sz w:val="22"/>
          <w:szCs w:val="22"/>
          <w:lang w:val="en-US"/>
        </w:rPr>
        <w:t>467</w:t>
      </w:r>
      <w:r w:rsidRPr="00CF4D4C">
        <w:rPr>
          <w:rFonts w:ascii="Arial" w:hAnsi="Arial"/>
          <w:sz w:val="22"/>
          <w:szCs w:val="22"/>
          <w:lang w:val="en-US"/>
        </w:rPr>
        <w:t xml:space="preserve"> in development and investment banks. </w:t>
      </w:r>
    </w:p>
    <w:p w:rsidR="00382C51" w:rsidRPr="00CF4D4C" w:rsidRDefault="00382C51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0F7651" w:rsidRPr="00CF4D4C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CF4D4C" w:rsidRDefault="006F1D37" w:rsidP="000B6A69">
      <w:pPr>
        <w:pStyle w:val="Heading9"/>
        <w:rPr>
          <w:rFonts w:ascii="Arial" w:hAnsi="Arial"/>
          <w:color w:val="000000" w:themeColor="text1"/>
          <w:lang w:val="en-US"/>
        </w:rPr>
      </w:pPr>
      <w:r w:rsidRPr="00CF4D4C">
        <w:rPr>
          <w:rFonts w:ascii="Arial" w:hAnsi="Arial"/>
          <w:color w:val="000000" w:themeColor="text1"/>
          <w:lang w:val="en-US"/>
        </w:rPr>
        <w:lastRenderedPageBreak/>
        <w:t>Number of Employees</w:t>
      </w:r>
      <w:r w:rsidR="000F5F1A" w:rsidRPr="00CF4D4C">
        <w:rPr>
          <w:rFonts w:ascii="Arial" w:hAnsi="Arial"/>
          <w:color w:val="000000" w:themeColor="text1"/>
          <w:lang w:val="en-US"/>
        </w:rPr>
        <w:t xml:space="preserve"> </w:t>
      </w:r>
      <w:r w:rsidR="00E06A4C">
        <w:rPr>
          <w:rFonts w:ascii="Arial" w:hAnsi="Arial"/>
          <w:color w:val="000000" w:themeColor="text1"/>
          <w:lang w:val="en-US"/>
        </w:rPr>
        <w:t>(thousand people)</w:t>
      </w:r>
    </w:p>
    <w:p w:rsidR="005B73D0" w:rsidRPr="00CF4D4C" w:rsidRDefault="00FA5643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CF4D4C">
        <w:rPr>
          <w:noProof/>
          <w:color w:val="000000" w:themeColor="text1"/>
          <w:lang w:eastAsia="tr-TR"/>
        </w:rPr>
        <w:drawing>
          <wp:inline distT="0" distB="0" distL="0" distR="0" wp14:anchorId="2365F23B" wp14:editId="41A11B67">
            <wp:extent cx="4500000" cy="1763395"/>
            <wp:effectExtent l="0" t="0" r="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1D37" w:rsidRPr="00CF4D4C" w:rsidRDefault="006F1D37" w:rsidP="005421C0">
      <w:pPr>
        <w:pStyle w:val="Heading9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425999" w:rsidRPr="00CF4D4C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CF4D4C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CF4D4C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CF4D4C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CF4D4C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CF4D4C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CF4D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CF4D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FA5643" w:rsidRPr="00CF4D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June</w:t>
      </w:r>
      <w:r w:rsidR="00C03169" w:rsidRPr="00CF4D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2022</w:t>
      </w:r>
      <w:r w:rsidR="00E727B2" w:rsidRPr="00CF4D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CF4D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5</w:t>
      </w:r>
      <w:r w:rsidR="0093751D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0.</w:t>
      </w:r>
      <w:r w:rsidR="00C03169" w:rsidRPr="00CF4D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5</w:t>
      </w:r>
      <w:r w:rsidR="001B1AA9" w:rsidRPr="00CF4D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CF4D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percent of the employees were female regarding the distribution of bank employees by gender. </w:t>
      </w:r>
    </w:p>
    <w:p w:rsidR="00300FE4" w:rsidRPr="00CF4D4C" w:rsidRDefault="00300FE4" w:rsidP="001E1244">
      <w:pPr>
        <w:jc w:val="both"/>
        <w:rPr>
          <w:rFonts w:ascii="Arial" w:hAnsi="Arial" w:cs="Arial"/>
          <w:snapToGrid w:val="0"/>
          <w:color w:val="FF0000"/>
          <w:sz w:val="16"/>
          <w:szCs w:val="16"/>
          <w:lang w:val="en-US"/>
        </w:rPr>
      </w:pPr>
    </w:p>
    <w:p w:rsidR="001E1244" w:rsidRPr="00CF4D4C" w:rsidRDefault="001E1244" w:rsidP="001E1244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CF4D4C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FC4EA3" w:rsidRPr="00CF4D4C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3D3BA7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CF4D4C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9368E1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8</w:t>
      </w:r>
      <w:r w:rsidR="00116F15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FA5643" w:rsidRPr="00CF4D4C">
        <w:rPr>
          <w:rFonts w:ascii="Arial" w:hAnsi="Arial"/>
          <w:color w:val="000000" w:themeColor="text1"/>
          <w:sz w:val="22"/>
          <w:szCs w:val="22"/>
          <w:lang w:val="en-US"/>
        </w:rPr>
        <w:t>June</w:t>
      </w:r>
      <w:r w:rsidR="00C03169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95340" w:rsidRPr="00CF4D4C">
        <w:rPr>
          <w:rFonts w:ascii="Arial" w:hAnsi="Arial"/>
          <w:color w:val="000000" w:themeColor="text1"/>
          <w:sz w:val="22"/>
          <w:szCs w:val="22"/>
          <w:lang w:val="en-US"/>
        </w:rPr>
        <w:t>202</w:t>
      </w:r>
      <w:r w:rsidR="001A48A4" w:rsidRPr="00CF4D4C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Pr="00CF4D4C">
        <w:rPr>
          <w:rFonts w:ascii="Arial" w:hAnsi="Arial"/>
          <w:color w:val="000000" w:themeColor="text1"/>
          <w:sz w:val="22"/>
          <w:szCs w:val="22"/>
          <w:lang w:val="en-US"/>
        </w:rPr>
        <w:t>. This figure was 1</w:t>
      </w:r>
      <w:r w:rsidR="009368E1" w:rsidRPr="00CF4D4C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high-school graduates</w:t>
      </w:r>
      <w:r w:rsidR="003D3BA7" w:rsidRPr="00CF4D4C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1E1244" w:rsidRPr="00CF4D4C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C842CE" w:rsidRPr="00CF4D4C" w:rsidRDefault="00077C79" w:rsidP="00094B92">
      <w:pPr>
        <w:pStyle w:val="Heading9"/>
        <w:rPr>
          <w:rFonts w:ascii="Arial" w:hAnsi="Arial"/>
          <w:color w:val="000000" w:themeColor="text1"/>
          <w:lang w:val="en-US"/>
        </w:rPr>
      </w:pPr>
      <w:r w:rsidRPr="00CF4D4C">
        <w:rPr>
          <w:noProof/>
          <w:color w:val="000000" w:themeColor="text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258445</wp:posOffset>
            </wp:positionV>
            <wp:extent cx="2286000" cy="1711325"/>
            <wp:effectExtent l="0" t="0" r="0" b="3175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A9" w:rsidRPr="00CF4D4C">
        <w:rPr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1AC03D7C" wp14:editId="5C036DDA">
            <wp:simplePos x="0" y="0"/>
            <wp:positionH relativeFrom="column">
              <wp:posOffset>2286635</wp:posOffset>
            </wp:positionH>
            <wp:positionV relativeFrom="paragraph">
              <wp:posOffset>258445</wp:posOffset>
            </wp:positionV>
            <wp:extent cx="3225800" cy="171450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CF4D4C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="00300FE4" w:rsidRPr="00CF4D4C">
        <w:rPr>
          <w:rFonts w:ascii="Arial" w:hAnsi="Arial"/>
          <w:color w:val="000000" w:themeColor="text1"/>
          <w:lang w:val="en-US"/>
        </w:rPr>
        <w:t>Employees by Gender and Education Level</w:t>
      </w:r>
    </w:p>
    <w:p w:rsidR="00077C79" w:rsidRPr="00CF4D4C" w:rsidRDefault="00077C79" w:rsidP="003B53F2">
      <w:pPr>
        <w:pStyle w:val="Subtitle"/>
        <w:rPr>
          <w:color w:val="FF0000"/>
          <w:szCs w:val="22"/>
          <w:lang w:val="en-US"/>
        </w:rPr>
      </w:pPr>
    </w:p>
    <w:p w:rsidR="00FA5643" w:rsidRPr="00CF4D4C" w:rsidRDefault="00FA5643" w:rsidP="003B53F2">
      <w:pPr>
        <w:pStyle w:val="Subtitle"/>
        <w:rPr>
          <w:color w:val="FF0000"/>
          <w:szCs w:val="22"/>
          <w:lang w:val="en-US"/>
        </w:rPr>
      </w:pPr>
    </w:p>
    <w:p w:rsidR="00382C51" w:rsidRPr="00CF4D4C" w:rsidRDefault="00CF4D4C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CF4D4C">
        <w:rPr>
          <w:rFonts w:ascii="Arial" w:hAnsi="Arial" w:cs="Arial"/>
          <w:color w:val="FF0000"/>
          <w:sz w:val="22"/>
          <w:szCs w:val="22"/>
          <w:lang w:val="en-US"/>
        </w:rPr>
        <w:t>The age distribution of employees in the banking sector has been compiled and published by the Banks Association of Turkey since June 2022. Accordingly, 42 percent are in the 36-45 age range, and 39 percent are in the 26-35 age range.</w:t>
      </w:r>
    </w:p>
    <w:p w:rsidR="00382C51" w:rsidRDefault="00382C51" w:rsidP="00382C51">
      <w:pPr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382C51" w:rsidRPr="00CF4D4C" w:rsidRDefault="00382C51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F4D4C">
        <w:rPr>
          <w:rFonts w:ascii="Arial" w:hAnsi="Arial" w:cs="Arial"/>
          <w:b/>
          <w:sz w:val="22"/>
          <w:szCs w:val="22"/>
          <w:lang w:val="en-US"/>
        </w:rPr>
        <w:t>Bank Employees by Age (percent)</w:t>
      </w:r>
    </w:p>
    <w:p w:rsidR="00FA5643" w:rsidRPr="00CF4D4C" w:rsidRDefault="00E06A4C" w:rsidP="00E06A4C">
      <w:pPr>
        <w:pStyle w:val="Subtitle"/>
        <w:jc w:val="center"/>
        <w:rPr>
          <w:color w:val="FF0000"/>
          <w:szCs w:val="22"/>
          <w:lang w:val="en-US"/>
        </w:rPr>
      </w:pPr>
      <w:r>
        <w:rPr>
          <w:noProof/>
        </w:rPr>
        <w:drawing>
          <wp:inline distT="0" distB="0" distL="0" distR="0" wp14:anchorId="49FA1FC9" wp14:editId="4B2688DD">
            <wp:extent cx="4500000" cy="1764000"/>
            <wp:effectExtent l="0" t="0" r="0" b="825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5643" w:rsidRPr="00CF4D4C" w:rsidRDefault="00FA5643" w:rsidP="003B53F2">
      <w:pPr>
        <w:pStyle w:val="Subtitle"/>
        <w:rPr>
          <w:color w:val="FF0000"/>
          <w:szCs w:val="22"/>
          <w:lang w:val="en-US"/>
        </w:rPr>
      </w:pPr>
    </w:p>
    <w:p w:rsidR="003B53F2" w:rsidRPr="00CF4D4C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CF4D4C">
        <w:rPr>
          <w:color w:val="000000" w:themeColor="text1"/>
          <w:szCs w:val="22"/>
          <w:lang w:val="en-US"/>
        </w:rPr>
        <w:t>Number of Branches</w:t>
      </w:r>
    </w:p>
    <w:p w:rsidR="003B53F2" w:rsidRPr="00CF4D4C" w:rsidRDefault="003B53F2" w:rsidP="003B53F2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3B53F2" w:rsidRPr="00CF4D4C" w:rsidRDefault="000F7651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FA5643" w:rsidRPr="00CF4D4C">
        <w:rPr>
          <w:rFonts w:ascii="Arial" w:hAnsi="Arial"/>
          <w:color w:val="000000" w:themeColor="text1"/>
          <w:sz w:val="22"/>
          <w:szCs w:val="22"/>
          <w:lang w:val="en-US"/>
        </w:rPr>
        <w:t>June</w:t>
      </w:r>
      <w:r w:rsidR="00C03169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2022</w:t>
      </w:r>
      <w:r w:rsidR="003B53F2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CF4D4C">
        <w:rPr>
          <w:rFonts w:ascii="Arial" w:hAnsi="Arial"/>
          <w:color w:val="000000" w:themeColor="text1"/>
          <w:sz w:val="22"/>
          <w:szCs w:val="22"/>
          <w:lang w:val="en-US"/>
        </w:rPr>
        <w:t>9,</w:t>
      </w:r>
      <w:r w:rsidR="00EB02B3" w:rsidRPr="00CF4D4C">
        <w:rPr>
          <w:rFonts w:ascii="Arial" w:hAnsi="Arial"/>
          <w:color w:val="000000" w:themeColor="text1"/>
          <w:sz w:val="22"/>
          <w:szCs w:val="22"/>
          <w:lang w:val="en-US"/>
        </w:rPr>
        <w:t>7</w:t>
      </w:r>
      <w:r w:rsidR="00FA5643" w:rsidRPr="00CF4D4C">
        <w:rPr>
          <w:rFonts w:ascii="Arial" w:hAnsi="Arial"/>
          <w:color w:val="000000" w:themeColor="text1"/>
          <w:sz w:val="22"/>
          <w:szCs w:val="22"/>
          <w:lang w:val="en-US"/>
        </w:rPr>
        <w:t>53</w:t>
      </w:r>
      <w:r w:rsidR="003B53F2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CF4D4C" w:rsidRDefault="00CC088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FC4EA3" w:rsidRPr="00CF4D4C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CF4D4C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CF4D4C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FA5643" w:rsidRPr="00CF4D4C" w:rsidTr="00831A9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CF4D4C" w:rsidRDefault="00C03169" w:rsidP="00C03169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CF4D4C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CF4D4C" w:rsidRDefault="00FA5643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June</w:t>
            </w:r>
            <w:r w:rsidR="00C03169"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CF4D4C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 2021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CF4D4C" w:rsidRDefault="00FA5643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June</w:t>
            </w:r>
            <w:r w:rsidR="00C03169"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2022</w:t>
            </w:r>
          </w:p>
        </w:tc>
      </w:tr>
      <w:tr w:rsidR="00FA5643" w:rsidRPr="00CF4D4C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 w:eastAsia="tr-TR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9.827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9.724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9.682</w:t>
            </w:r>
          </w:p>
        </w:tc>
      </w:tr>
      <w:tr w:rsidR="00FA5643" w:rsidRPr="00CF4D4C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68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71</w:t>
            </w:r>
          </w:p>
        </w:tc>
      </w:tr>
      <w:tr w:rsidR="00FA5643" w:rsidRPr="00CF4D4C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9.893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9.792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5643" w:rsidRPr="00CF4D4C" w:rsidRDefault="00FA5643" w:rsidP="00FA564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9.753</w:t>
            </w:r>
          </w:p>
        </w:tc>
      </w:tr>
    </w:tbl>
    <w:p w:rsidR="003B53F2" w:rsidRPr="00CF4D4C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CF4D4C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2D557D" w:rsidRPr="00CF4D4C" w:rsidRDefault="002D557D" w:rsidP="00D04C4E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EB02B3" w:rsidRPr="00CF4D4C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CF4D4C">
        <w:rPr>
          <w:rFonts w:ascii="Arial" w:hAnsi="Arial"/>
          <w:sz w:val="22"/>
          <w:szCs w:val="22"/>
          <w:lang w:val="en-US"/>
        </w:rPr>
        <w:t xml:space="preserve">The number of branches decreased by </w:t>
      </w:r>
      <w:r w:rsidR="00382C51" w:rsidRPr="00CF4D4C">
        <w:rPr>
          <w:rFonts w:ascii="Arial" w:hAnsi="Arial"/>
          <w:sz w:val="22"/>
          <w:szCs w:val="22"/>
          <w:lang w:val="en-US"/>
        </w:rPr>
        <w:t>33</w:t>
      </w:r>
      <w:r w:rsidRPr="00CF4D4C">
        <w:rPr>
          <w:rFonts w:ascii="Arial" w:hAnsi="Arial"/>
          <w:sz w:val="22"/>
          <w:szCs w:val="22"/>
          <w:lang w:val="en-US"/>
        </w:rPr>
        <w:t xml:space="preserve">, as compared to previous quarter and by </w:t>
      </w:r>
      <w:r w:rsidR="00C03169" w:rsidRPr="00CF4D4C">
        <w:rPr>
          <w:rFonts w:ascii="Arial" w:hAnsi="Arial"/>
          <w:sz w:val="22"/>
          <w:szCs w:val="22"/>
          <w:lang w:val="en-US"/>
        </w:rPr>
        <w:t>1</w:t>
      </w:r>
      <w:r w:rsidR="00382C51" w:rsidRPr="00CF4D4C">
        <w:rPr>
          <w:rFonts w:ascii="Arial" w:hAnsi="Arial"/>
          <w:sz w:val="22"/>
          <w:szCs w:val="22"/>
          <w:lang w:val="en-US"/>
        </w:rPr>
        <w:t>40</w:t>
      </w:r>
      <w:r w:rsidRPr="00CF4D4C">
        <w:rPr>
          <w:rFonts w:ascii="Arial" w:hAnsi="Arial"/>
          <w:sz w:val="22"/>
          <w:szCs w:val="22"/>
          <w:lang w:val="en-US"/>
        </w:rPr>
        <w:t xml:space="preserve">, as compared to </w:t>
      </w:r>
      <w:r w:rsidR="00FA5643" w:rsidRPr="00CF4D4C">
        <w:rPr>
          <w:rFonts w:ascii="Arial" w:hAnsi="Arial"/>
          <w:sz w:val="22"/>
          <w:szCs w:val="22"/>
          <w:lang w:val="en-US"/>
        </w:rPr>
        <w:t>June</w:t>
      </w:r>
      <w:r w:rsidR="00C03169" w:rsidRPr="00CF4D4C">
        <w:rPr>
          <w:rFonts w:ascii="Arial" w:hAnsi="Arial"/>
          <w:sz w:val="22"/>
          <w:szCs w:val="22"/>
          <w:lang w:val="en-US"/>
        </w:rPr>
        <w:t xml:space="preserve"> </w:t>
      </w:r>
      <w:r w:rsidRPr="00CF4D4C">
        <w:rPr>
          <w:rFonts w:ascii="Arial" w:hAnsi="Arial"/>
          <w:sz w:val="22"/>
          <w:szCs w:val="22"/>
          <w:lang w:val="en-US"/>
        </w:rPr>
        <w:t>20</w:t>
      </w:r>
      <w:r w:rsidR="00C03169" w:rsidRPr="00CF4D4C">
        <w:rPr>
          <w:rFonts w:ascii="Arial" w:hAnsi="Arial"/>
          <w:sz w:val="22"/>
          <w:szCs w:val="22"/>
          <w:lang w:val="en-US"/>
        </w:rPr>
        <w:t>21</w:t>
      </w:r>
      <w:r w:rsidRPr="00CF4D4C">
        <w:rPr>
          <w:rFonts w:ascii="Arial" w:hAnsi="Arial"/>
          <w:sz w:val="22"/>
          <w:szCs w:val="22"/>
          <w:lang w:val="en-US"/>
        </w:rPr>
        <w:t>.</w:t>
      </w:r>
    </w:p>
    <w:p w:rsidR="00EB02B3" w:rsidRPr="00CF4D4C" w:rsidRDefault="00EB02B3" w:rsidP="00EB02B3">
      <w:pPr>
        <w:jc w:val="both"/>
        <w:rPr>
          <w:rFonts w:ascii="Arial" w:hAnsi="Arial"/>
          <w:sz w:val="10"/>
          <w:szCs w:val="10"/>
          <w:lang w:val="en-US"/>
        </w:rPr>
      </w:pPr>
    </w:p>
    <w:p w:rsidR="00EB02B3" w:rsidRPr="00CF4D4C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CF4D4C">
        <w:rPr>
          <w:rFonts w:ascii="Arial" w:hAnsi="Arial"/>
          <w:sz w:val="22"/>
          <w:szCs w:val="22"/>
          <w:lang w:val="en-US"/>
        </w:rPr>
        <w:t xml:space="preserve">The number of branches per bank </w:t>
      </w:r>
      <w:r w:rsidR="00077C79" w:rsidRPr="00CF4D4C">
        <w:rPr>
          <w:rFonts w:ascii="Arial" w:hAnsi="Arial"/>
          <w:sz w:val="22"/>
          <w:szCs w:val="22"/>
          <w:lang w:val="en-US"/>
        </w:rPr>
        <w:t>was 27</w:t>
      </w:r>
      <w:r w:rsidR="00382C51" w:rsidRPr="00CF4D4C">
        <w:rPr>
          <w:rFonts w:ascii="Arial" w:hAnsi="Arial"/>
          <w:sz w:val="22"/>
          <w:szCs w:val="22"/>
          <w:lang w:val="en-US"/>
        </w:rPr>
        <w:t>7</w:t>
      </w:r>
      <w:r w:rsidR="00077C79" w:rsidRPr="00CF4D4C">
        <w:rPr>
          <w:rFonts w:ascii="Arial" w:hAnsi="Arial"/>
          <w:sz w:val="22"/>
          <w:szCs w:val="22"/>
          <w:lang w:val="en-US"/>
        </w:rPr>
        <w:t xml:space="preserve"> in deposit banks at the end o</w:t>
      </w:r>
      <w:r w:rsidR="00F74E30" w:rsidRPr="00CF4D4C">
        <w:rPr>
          <w:rFonts w:ascii="Arial" w:hAnsi="Arial"/>
          <w:sz w:val="22"/>
          <w:szCs w:val="22"/>
          <w:lang w:val="en-US"/>
        </w:rPr>
        <w:t>f</w:t>
      </w:r>
      <w:r w:rsidR="00077C79" w:rsidRPr="00CF4D4C">
        <w:rPr>
          <w:rFonts w:ascii="Arial" w:hAnsi="Arial"/>
          <w:sz w:val="22"/>
          <w:szCs w:val="22"/>
          <w:lang w:val="en-US"/>
        </w:rPr>
        <w:t xml:space="preserve"> </w:t>
      </w:r>
      <w:r w:rsidR="00FA5643" w:rsidRPr="00CF4D4C">
        <w:rPr>
          <w:rFonts w:ascii="Arial" w:hAnsi="Arial"/>
          <w:sz w:val="22"/>
          <w:szCs w:val="22"/>
          <w:lang w:val="en-US"/>
        </w:rPr>
        <w:t>June</w:t>
      </w:r>
      <w:r w:rsidR="00C03169" w:rsidRPr="00CF4D4C">
        <w:rPr>
          <w:rFonts w:ascii="Arial" w:hAnsi="Arial"/>
          <w:sz w:val="22"/>
          <w:szCs w:val="22"/>
          <w:lang w:val="en-US"/>
        </w:rPr>
        <w:t xml:space="preserve"> </w:t>
      </w:r>
      <w:r w:rsidR="001A48A4" w:rsidRPr="00CF4D4C">
        <w:rPr>
          <w:rFonts w:ascii="Arial" w:hAnsi="Arial"/>
          <w:sz w:val="22"/>
          <w:szCs w:val="22"/>
          <w:lang w:val="en-US"/>
        </w:rPr>
        <w:t>2022</w:t>
      </w:r>
      <w:r w:rsidR="00077C79" w:rsidRPr="00CF4D4C">
        <w:rPr>
          <w:rFonts w:ascii="Arial" w:hAnsi="Arial"/>
          <w:sz w:val="22"/>
          <w:szCs w:val="22"/>
          <w:lang w:val="en-US"/>
        </w:rPr>
        <w:t>.</w:t>
      </w:r>
    </w:p>
    <w:p w:rsidR="00382C51" w:rsidRPr="00CF4D4C" w:rsidRDefault="00382C51" w:rsidP="00EB02B3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3B53F2" w:rsidRPr="0093751D" w:rsidRDefault="000F5F1A" w:rsidP="00EB02B3">
      <w:pPr>
        <w:jc w:val="center"/>
        <w:rPr>
          <w:rFonts w:ascii="Arial" w:hAnsi="Arial"/>
          <w:b/>
          <w:sz w:val="22"/>
          <w:lang w:val="en-US" w:eastAsia="tr-TR"/>
        </w:rPr>
      </w:pPr>
      <w:r w:rsidRPr="0093751D">
        <w:rPr>
          <w:rFonts w:ascii="Arial" w:hAnsi="Arial"/>
          <w:b/>
          <w:sz w:val="22"/>
          <w:lang w:val="en-US" w:eastAsia="tr-TR"/>
        </w:rPr>
        <w:t>Number of Branches</w:t>
      </w:r>
      <w:r w:rsidR="0089243E" w:rsidRPr="0093751D">
        <w:rPr>
          <w:rFonts w:ascii="Arial" w:hAnsi="Arial"/>
          <w:b/>
          <w:sz w:val="22"/>
          <w:lang w:val="en-US" w:eastAsia="tr-TR"/>
        </w:rPr>
        <w:t xml:space="preserve"> </w:t>
      </w:r>
    </w:p>
    <w:p w:rsidR="003B53F2" w:rsidRPr="00CF4D4C" w:rsidRDefault="0093751D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2CE8D9E0" wp14:editId="706B34B2">
            <wp:extent cx="4499238" cy="1767993"/>
            <wp:effectExtent l="0" t="0" r="0" b="381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9238" cy="17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A2" w:rsidRPr="00CF4D4C" w:rsidRDefault="007D56A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rapid growth of </w:t>
      </w:r>
      <w:r w:rsidR="00064B09"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>non-branch</w:t>
      </w:r>
      <w:r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CF4D4C" w:rsidRDefault="007D56A2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44D70" w:rsidRPr="00CF4D4C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F4D4C">
        <w:rPr>
          <w:rFonts w:ascii="Arial" w:hAnsi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:rsidR="00926B08" w:rsidRPr="00CF4D4C" w:rsidRDefault="00926B08" w:rsidP="00926B08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6B08" w:rsidRPr="00CF4D4C" w:rsidRDefault="008601CB" w:rsidP="0024332E">
      <w:pPr>
        <w:tabs>
          <w:tab w:val="left" w:pos="978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FA5643" w:rsidRPr="00CF4D4C">
        <w:rPr>
          <w:rFonts w:ascii="Arial" w:hAnsi="Arial"/>
          <w:color w:val="000000" w:themeColor="text1"/>
          <w:sz w:val="22"/>
          <w:szCs w:val="22"/>
          <w:lang w:val="en-US"/>
        </w:rPr>
        <w:t>June</w:t>
      </w:r>
      <w:r w:rsidR="00F74E30" w:rsidRPr="00CF4D4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F7651" w:rsidRPr="00CF4D4C">
        <w:rPr>
          <w:rFonts w:ascii="Arial" w:hAnsi="Arial"/>
          <w:color w:val="000000" w:themeColor="text1"/>
          <w:sz w:val="22"/>
          <w:szCs w:val="22"/>
          <w:lang w:val="en-US"/>
        </w:rPr>
        <w:t>202</w:t>
      </w:r>
      <w:r w:rsidR="00F74E30" w:rsidRPr="00CF4D4C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4170F1"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>100,000 people was</w:t>
      </w:r>
      <w:r w:rsidR="0024332E"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382C51"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>19</w:t>
      </w:r>
      <w:r w:rsidR="0024332E"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F4D4C">
        <w:rPr>
          <w:rFonts w:ascii="Arial" w:hAnsi="Arial"/>
          <w:color w:val="000000" w:themeColor="text1"/>
          <w:sz w:val="22"/>
          <w:szCs w:val="22"/>
          <w:lang w:val="en-US"/>
        </w:rPr>
        <w:t>and branches</w:t>
      </w:r>
      <w:r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 100,000 people was 1</w:t>
      </w:r>
      <w:r w:rsidR="00F74E30"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>1.</w:t>
      </w:r>
      <w:r w:rsidR="00382C51"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Pr="00CF4D4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926B08" w:rsidRPr="00CF4D4C" w:rsidRDefault="00926B08" w:rsidP="00244D70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5126D8" w:rsidRPr="00CF4D4C" w:rsidRDefault="0024332E" w:rsidP="005126D8">
      <w:pPr>
        <w:jc w:val="center"/>
        <w:rPr>
          <w:rFonts w:ascii="Arial" w:hAnsi="Arial" w:cs="Arial"/>
          <w:noProof/>
          <w:color w:val="000000" w:themeColor="text1"/>
          <w:lang w:val="en-US" w:eastAsia="tr-TR"/>
        </w:rPr>
      </w:pPr>
      <w:r w:rsidRPr="00CF4D4C">
        <w:rPr>
          <w:rFonts w:ascii="Arial" w:hAnsi="Arial" w:cs="Arial"/>
          <w:b/>
          <w:color w:val="000000" w:themeColor="text1"/>
          <w:sz w:val="22"/>
          <w:lang w:val="en-US" w:eastAsia="tr-TR"/>
        </w:rPr>
        <w:t>Branches and Employees per 100,000 people</w:t>
      </w:r>
      <w:r w:rsidR="00926BDD" w:rsidRPr="00CF4D4C">
        <w:rPr>
          <w:rFonts w:ascii="Arial" w:hAnsi="Arial" w:cs="Arial"/>
          <w:noProof/>
          <w:color w:val="000000" w:themeColor="text1"/>
          <w:lang w:val="en-US" w:eastAsia="tr-TR"/>
        </w:rPr>
        <w:t xml:space="preserve">* </w:t>
      </w:r>
    </w:p>
    <w:p w:rsidR="00236CCD" w:rsidRPr="00CF4D4C" w:rsidRDefault="00382C51" w:rsidP="005126D8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F4D4C">
        <w:rPr>
          <w:noProof/>
          <w:color w:val="000000" w:themeColor="text1"/>
          <w:lang w:eastAsia="tr-TR"/>
        </w:rPr>
        <w:drawing>
          <wp:inline distT="0" distB="0" distL="0" distR="0" wp14:anchorId="17033DD1" wp14:editId="3E7C07F0">
            <wp:extent cx="4500000" cy="1980000"/>
            <wp:effectExtent l="0" t="0" r="0" b="12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CF4D4C" w:rsidRDefault="00926BDD" w:rsidP="00926BDD">
      <w:pPr>
        <w:jc w:val="both"/>
        <w:rPr>
          <w:rFonts w:ascii="Arial" w:hAnsi="Arial" w:cs="Arial"/>
          <w:color w:val="000000" w:themeColor="text1"/>
          <w:sz w:val="18"/>
          <w:szCs w:val="22"/>
          <w:lang w:val="en-US"/>
        </w:rPr>
      </w:pPr>
      <w:r w:rsidRPr="00CF4D4C">
        <w:rPr>
          <w:rFonts w:ascii="Arial" w:hAnsi="Arial" w:cs="Arial"/>
          <w:color w:val="000000" w:themeColor="text1"/>
          <w:sz w:val="18"/>
          <w:szCs w:val="22"/>
          <w:lang w:val="en-US"/>
        </w:rPr>
        <w:t>*: 20</w:t>
      </w:r>
      <w:r w:rsidR="000F7651" w:rsidRPr="00CF4D4C">
        <w:rPr>
          <w:rFonts w:ascii="Arial" w:hAnsi="Arial" w:cs="Arial"/>
          <w:color w:val="000000" w:themeColor="text1"/>
          <w:sz w:val="18"/>
          <w:szCs w:val="22"/>
          <w:lang w:val="en-US"/>
        </w:rPr>
        <w:t>2</w:t>
      </w:r>
      <w:r w:rsidR="00F74E30" w:rsidRPr="00CF4D4C">
        <w:rPr>
          <w:rFonts w:ascii="Arial" w:hAnsi="Arial" w:cs="Arial"/>
          <w:color w:val="000000" w:themeColor="text1"/>
          <w:sz w:val="18"/>
          <w:szCs w:val="22"/>
          <w:lang w:val="en-US"/>
        </w:rPr>
        <w:t>1</w:t>
      </w:r>
      <w:r w:rsidRPr="00CF4D4C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population data were used in the calculations.</w:t>
      </w:r>
    </w:p>
    <w:p w:rsidR="00926B08" w:rsidRPr="00CF4D4C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CF4D4C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74" w:rsidRDefault="003A5F74">
      <w:r>
        <w:separator/>
      </w:r>
    </w:p>
  </w:endnote>
  <w:endnote w:type="continuationSeparator" w:id="0">
    <w:p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605E2E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382C51">
      <w:rPr>
        <w:rFonts w:ascii="Arial" w:hAnsi="Arial"/>
        <w:sz w:val="18"/>
        <w:lang w:val="en-US"/>
      </w:rPr>
      <w:t>June</w:t>
    </w:r>
    <w:r w:rsidR="001A48A4">
      <w:rPr>
        <w:rFonts w:ascii="Arial" w:hAnsi="Arial"/>
        <w:sz w:val="18"/>
      </w:rPr>
      <w:t xml:space="preserve"> 2022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9403BA">
      <w:rPr>
        <w:rFonts w:ascii="Arial" w:hAnsi="Arial"/>
        <w:sz w:val="18"/>
        <w:lang w:val="en-US"/>
      </w:rPr>
      <w:t>September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74" w:rsidRDefault="003A5F74">
      <w:r>
        <w:separator/>
      </w:r>
    </w:p>
  </w:footnote>
  <w:footnote w:type="continuationSeparator" w:id="0">
    <w:p w:rsidR="003A5F74" w:rsidRDefault="003A5F74">
      <w:r>
        <w:continuationSeparator/>
      </w:r>
    </w:p>
  </w:footnote>
  <w:footnote w:id="1">
    <w:p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77C7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05A1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F74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5E2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2F25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01ED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A4C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4E30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64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3219A9E-6927-436D-92BC-E2F5077C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tbbdosyas\mev\Bankac&#305;l&#305;k%20G&#246;stergeleri%20Sunumlar\Ara&#351;t&#305;rma%20raporlar&#305;\&#350;ube%20Personel\Haziran%202022\DATA-Graf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22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22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81-494B-BB00-2BCD4BEDAE7A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81-494B-BB00-2BCD4BEDAE7A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81-494B-BB00-2BCD4BEDAE7A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81-494B-BB00-2BCD4BEDAE7A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81-494B-BB00-2BCD4BEDAE7A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881-494B-BB00-2BCD4BEDAE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881-494B-BB00-2BCD4BEDA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561856"/>
        <c:axId val="103802368"/>
      </c:barChart>
      <c:catAx>
        <c:axId val="1015618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3802368"/>
        <c:crosses val="autoZero"/>
        <c:auto val="1"/>
        <c:lblAlgn val="ctr"/>
        <c:lblOffset val="100"/>
        <c:noMultiLvlLbl val="0"/>
      </c:catAx>
      <c:valAx>
        <c:axId val="103802368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01561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838368703974749E-2"/>
          <c:y val="0.74420907962077965"/>
          <c:w val="0.89541682274026024"/>
          <c:h val="0.254289809468715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6590085513504365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grafik'!$D$21</c:f>
              <c:strCache>
                <c:ptCount val="1"/>
                <c:pt idx="0">
                  <c:v>Annual Change (right axis)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grafik'!$A$28:$A$33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[$-409]mmm\-yy;@">
                  <c:v>44621</c:v>
                </c:pt>
                <c:pt idx="5" formatCode="[$-409]mmm\-yy;@">
                  <c:v>44713</c:v>
                </c:pt>
              </c:numCache>
            </c:numRef>
          </c:cat>
          <c:val>
            <c:numRef>
              <c:f>'çalışan grafik'!$D$28:$D$33</c:f>
              <c:numCache>
                <c:formatCode>#,##0</c:formatCode>
                <c:ptCount val="6"/>
                <c:pt idx="0">
                  <c:v>192.31299999999999</c:v>
                </c:pt>
                <c:pt idx="1">
                  <c:v>188.83699999999999</c:v>
                </c:pt>
                <c:pt idx="2">
                  <c:v>186.61199999999999</c:v>
                </c:pt>
                <c:pt idx="3">
                  <c:v>185.24799999999999</c:v>
                </c:pt>
                <c:pt idx="4">
                  <c:v>185</c:v>
                </c:pt>
                <c:pt idx="5">
                  <c:v>185.65600000000001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23-4FA6-9B6E-7C68CA18F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849792"/>
        <c:axId val="128851328"/>
      </c:barChart>
      <c:catAx>
        <c:axId val="12884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8851328"/>
        <c:crosses val="autoZero"/>
        <c:auto val="1"/>
        <c:lblAlgn val="ctr"/>
        <c:lblOffset val="100"/>
        <c:noMultiLvlLbl val="0"/>
      </c:catAx>
      <c:valAx>
        <c:axId val="128851328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128849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314-4DDE-A246-86FFF357B84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6314-4DDE-A246-86FFF357B84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6314-4DDE-A246-86FFF357B848}"/>
                </c:ext>
              </c:extLst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314-4DDE-A246-86FFF357B8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1.6208180040614715</c:v>
                </c:pt>
                <c:pt idx="1">
                  <c:v>16.972533894972717</c:v>
                </c:pt>
                <c:pt idx="2">
                  <c:v>22.38387908234445</c:v>
                </c:pt>
                <c:pt idx="3">
                  <c:v>7.9058643554703281</c:v>
                </c:pt>
                <c:pt idx="4" formatCode="0.0">
                  <c:v>0.5941383378131615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14-4DDE-A246-86FFF357B848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314-4DDE-A246-86FFF357B848}"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314-4DDE-A246-86FFF357B8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2.6318766260699071</c:v>
                </c:pt>
                <c:pt idx="1">
                  <c:v>21.796743281604336</c:v>
                </c:pt>
                <c:pt idx="2">
                  <c:v>19.90498095848573</c:v>
                </c:pt>
                <c:pt idx="3">
                  <c:v>5.9683162130279506</c:v>
                </c:pt>
                <c:pt idx="4" formatCode="0.0">
                  <c:v>0.22084924614995124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14-4DDE-A246-86FFF357B8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8683023"/>
        <c:axId val="528684687"/>
      </c:barChart>
      <c:catAx>
        <c:axId val="528683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8684687"/>
        <c:crosses val="autoZero"/>
        <c:auto val="1"/>
        <c:lblAlgn val="ctr"/>
        <c:lblOffset val="100"/>
        <c:noMultiLvlLbl val="0"/>
      </c:catAx>
      <c:valAx>
        <c:axId val="528684687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8683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445043014839058E-2"/>
          <c:y val="7.0558050032071842E-2"/>
          <c:w val="0.84898335633532684"/>
          <c:h val="0.67331925876167342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[$-409]mmm\-yy;@">
                  <c:v>44622</c:v>
                </c:pt>
                <c:pt idx="5" formatCode="[$-409]mmm\-yy;@">
                  <c:v>44715</c:v>
                </c:pt>
              </c:numCache>
            </c:numRef>
          </c:cat>
          <c:val>
            <c:numRef>
              <c:f>'nüfusa göre'!$G$3:$L$3</c:f>
              <c:numCache>
                <c:formatCode>0.0</c:formatCode>
                <c:ptCount val="6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11.719376483351677</c:v>
                </c:pt>
                <c:pt idx="5">
                  <c:v>11.517440431492233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40-4DBF-836B-17990D6243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158144"/>
        <c:axId val="489159680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[$-409]mmm\-yy;@">
                  <c:v>44622</c:v>
                </c:pt>
                <c:pt idx="5" formatCode="[$-409]mmm\-yy;@">
                  <c:v>44715</c:v>
                </c:pt>
              </c:numCache>
            </c:numRef>
          </c:cat>
          <c:val>
            <c:numRef>
              <c:f>'nüfusa göre'!$G$4:$L$4</c:f>
              <c:numCache>
                <c:formatCode>0</c:formatCode>
                <c:ptCount val="6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219.62730327995047</c:v>
                </c:pt>
                <c:pt idx="5">
                  <c:v>219.24350669015911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40-4DBF-836B-17990D6243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359616"/>
        <c:axId val="489358080"/>
      </c:lineChart>
      <c:catAx>
        <c:axId val="48915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159680"/>
        <c:crosses val="autoZero"/>
        <c:auto val="1"/>
        <c:lblAlgn val="ctr"/>
        <c:lblOffset val="100"/>
        <c:noMultiLvlLbl val="0"/>
      </c:catAx>
      <c:valAx>
        <c:axId val="489159680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158144"/>
        <c:crosses val="autoZero"/>
        <c:crossBetween val="between"/>
        <c:majorUnit val="1"/>
      </c:valAx>
      <c:valAx>
        <c:axId val="489358080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359616"/>
        <c:crosses val="max"/>
        <c:crossBetween val="between"/>
        <c:majorUnit val="10"/>
      </c:valAx>
      <c:catAx>
        <c:axId val="489359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93580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924875109868806"/>
          <c:y val="0.90199983066632805"/>
          <c:w val="0.54150249780262383"/>
          <c:h val="9.80001693336720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0.10647</cdr:x>
      <cdr:y>0.5496</cdr:y>
    </cdr:from>
    <cdr:to>
      <cdr:x>0.5491</cdr:x>
      <cdr:y>0.6383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8624" y="745808"/>
          <a:ext cx="2239285" cy="12036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43DE-BCC1-4FCF-8D06-C8F56C1B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2019-10-25T07:35:00Z</cp:lastPrinted>
  <dcterms:created xsi:type="dcterms:W3CDTF">2022-08-04T05:26:00Z</dcterms:created>
  <dcterms:modified xsi:type="dcterms:W3CDTF">2022-08-04T05:26:00Z</dcterms:modified>
</cp:coreProperties>
</file>