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56" w:rsidRPr="00A12D16" w:rsidRDefault="00E361C0" w:rsidP="00C06DDF">
      <w:pPr>
        <w:pStyle w:val="Title"/>
        <w:spacing w:before="120" w:after="120"/>
        <w:rPr>
          <w:rFonts w:ascii="Arial" w:hAnsi="Arial" w:cs="Arial"/>
          <w:sz w:val="28"/>
          <w:szCs w:val="28"/>
          <w:lang w:val="tr-TR"/>
        </w:rPr>
      </w:pPr>
      <w:bookmarkStart w:id="0" w:name="_GoBack"/>
      <w:bookmarkEnd w:id="0"/>
      <w:r w:rsidRPr="00A12D16">
        <w:rPr>
          <w:rFonts w:ascii="Arial" w:hAnsi="Arial" w:cs="Arial"/>
          <w:bCs/>
          <w:sz w:val="28"/>
          <w:szCs w:val="28"/>
        </w:rPr>
        <w:t>Banking System in Turkey</w:t>
      </w:r>
      <w:r w:rsidRPr="00A12D16">
        <w:rPr>
          <w:rFonts w:ascii="Arial" w:hAnsi="Arial" w:cs="Arial"/>
          <w:b w:val="0"/>
          <w:bCs/>
          <w:sz w:val="28"/>
          <w:szCs w:val="28"/>
        </w:rPr>
        <w:t xml:space="preserve"> </w:t>
      </w:r>
      <w:r w:rsidR="00CC3FDF" w:rsidRPr="00A12D16">
        <w:rPr>
          <w:rStyle w:val="FootnoteReference"/>
          <w:rFonts w:ascii="Arial" w:hAnsi="Arial" w:cs="Arial"/>
          <w:sz w:val="28"/>
          <w:szCs w:val="28"/>
          <w:lang w:val="tr-TR"/>
        </w:rPr>
        <w:footnoteReference w:id="2"/>
      </w:r>
    </w:p>
    <w:p w:rsidR="00CD44E5" w:rsidRPr="00A12D16" w:rsidRDefault="00CD44E5" w:rsidP="00C06DDF">
      <w:pPr>
        <w:pStyle w:val="Title"/>
        <w:spacing w:before="120" w:after="120"/>
        <w:rPr>
          <w:rFonts w:ascii="Arial" w:hAnsi="Arial" w:cs="Arial"/>
          <w:sz w:val="28"/>
          <w:szCs w:val="28"/>
          <w:lang w:val="tr-TR"/>
        </w:rPr>
      </w:pPr>
    </w:p>
    <w:p w:rsidR="00CC3FDF" w:rsidRPr="00A12D16" w:rsidRDefault="00CC3FDF" w:rsidP="00C06DDF">
      <w:pPr>
        <w:pStyle w:val="Title"/>
        <w:spacing w:before="120" w:after="120"/>
        <w:rPr>
          <w:rFonts w:ascii="Arial" w:hAnsi="Arial" w:cs="Arial"/>
          <w:sz w:val="28"/>
          <w:szCs w:val="28"/>
          <w:lang w:val="tr-TR"/>
        </w:rPr>
      </w:pPr>
      <w:r w:rsidRPr="00A12D16">
        <w:rPr>
          <w:rFonts w:ascii="Arial" w:hAnsi="Arial" w:cs="Arial"/>
          <w:sz w:val="28"/>
          <w:szCs w:val="28"/>
          <w:lang w:val="tr-TR"/>
        </w:rPr>
        <w:t>“</w:t>
      </w:r>
      <w:r w:rsidR="00E361C0" w:rsidRPr="00A12D16">
        <w:rPr>
          <w:rFonts w:ascii="Arial" w:hAnsi="Arial" w:cs="Arial"/>
          <w:sz w:val="28"/>
          <w:szCs w:val="28"/>
          <w:lang w:val="tr-TR"/>
        </w:rPr>
        <w:t>September</w:t>
      </w:r>
      <w:r w:rsidR="00A20AC8" w:rsidRPr="00A12D16">
        <w:rPr>
          <w:rFonts w:ascii="Arial" w:hAnsi="Arial" w:cs="Arial"/>
          <w:sz w:val="28"/>
          <w:szCs w:val="28"/>
          <w:lang w:val="tr-TR"/>
        </w:rPr>
        <w:t xml:space="preserve"> 2015</w:t>
      </w:r>
      <w:r w:rsidRPr="00A12D16">
        <w:rPr>
          <w:rFonts w:ascii="Arial" w:hAnsi="Arial" w:cs="Arial"/>
          <w:sz w:val="28"/>
          <w:szCs w:val="28"/>
          <w:lang w:val="tr-TR"/>
        </w:rPr>
        <w:t>”</w:t>
      </w:r>
    </w:p>
    <w:p w:rsidR="00C5615B" w:rsidRPr="00A12D16" w:rsidRDefault="00C5615B" w:rsidP="00C06DDF">
      <w:pPr>
        <w:pStyle w:val="Title"/>
        <w:spacing w:before="120" w:after="120"/>
        <w:rPr>
          <w:rFonts w:ascii="Arial" w:hAnsi="Arial" w:cs="Arial"/>
          <w:sz w:val="28"/>
          <w:szCs w:val="28"/>
          <w:lang w:val="tr-TR"/>
        </w:rPr>
      </w:pPr>
    </w:p>
    <w:p w:rsidR="00A12D16" w:rsidRPr="00A12D16" w:rsidRDefault="00A12D16" w:rsidP="00C06DDF">
      <w:pPr>
        <w:spacing w:before="120" w:after="120"/>
        <w:jc w:val="both"/>
        <w:rPr>
          <w:rFonts w:ascii="Arial" w:hAnsi="Arial" w:cs="Arial"/>
          <w:b/>
          <w:i/>
          <w:sz w:val="22"/>
          <w:szCs w:val="22"/>
          <w:lang w:val="en-US"/>
        </w:rPr>
      </w:pPr>
      <w:r w:rsidRPr="00A12D16">
        <w:rPr>
          <w:rFonts w:ascii="Arial" w:hAnsi="Arial" w:cs="Arial"/>
          <w:b/>
          <w:i/>
          <w:sz w:val="22"/>
          <w:szCs w:val="22"/>
          <w:lang w:val="en-US"/>
        </w:rPr>
        <w:t xml:space="preserve">Monetary policy uncertainty in developed countries and growth concerns in developing countries have continued. Declining commodity prices due to slowdown in global growth has contributed inflation and current account deficit in Turkey. The </w:t>
      </w:r>
      <w:r w:rsidR="007B7B38">
        <w:rPr>
          <w:rFonts w:ascii="Arial" w:hAnsi="Arial" w:cs="Arial"/>
          <w:b/>
          <w:i/>
          <w:sz w:val="22"/>
          <w:szCs w:val="22"/>
          <w:lang w:val="en-US"/>
        </w:rPr>
        <w:t xml:space="preserve">capital </w:t>
      </w:r>
      <w:r w:rsidRPr="00A12D16">
        <w:rPr>
          <w:rFonts w:ascii="Arial" w:hAnsi="Arial" w:cs="Arial"/>
          <w:b/>
          <w:i/>
          <w:sz w:val="22"/>
          <w:szCs w:val="22"/>
          <w:lang w:val="en-US"/>
        </w:rPr>
        <w:t>level of the banking sector will be decisive in contributing to growth in Turkish economy.</w:t>
      </w:r>
    </w:p>
    <w:p w:rsidR="00A12D16" w:rsidRPr="00A12D16" w:rsidRDefault="00A12D16" w:rsidP="00C06DDF">
      <w:pPr>
        <w:spacing w:before="120" w:after="120"/>
        <w:jc w:val="both"/>
        <w:rPr>
          <w:rFonts w:ascii="Arial" w:hAnsi="Arial" w:cs="Arial"/>
          <w:b/>
          <w:i/>
          <w:sz w:val="22"/>
          <w:szCs w:val="22"/>
          <w:lang w:val="en-US"/>
        </w:rPr>
      </w:pPr>
    </w:p>
    <w:p w:rsidR="00E27F76" w:rsidRPr="00A12D16" w:rsidRDefault="00CC3FDF" w:rsidP="00C06DDF">
      <w:pPr>
        <w:spacing w:before="120" w:after="120"/>
        <w:jc w:val="both"/>
        <w:rPr>
          <w:rFonts w:ascii="Arial" w:hAnsi="Arial" w:cs="Arial"/>
          <w:b/>
          <w:sz w:val="22"/>
          <w:szCs w:val="22"/>
        </w:rPr>
      </w:pPr>
      <w:r w:rsidRPr="00A12D16">
        <w:rPr>
          <w:rFonts w:ascii="Arial" w:hAnsi="Arial" w:cs="Arial"/>
          <w:b/>
          <w:sz w:val="22"/>
          <w:szCs w:val="22"/>
        </w:rPr>
        <w:t xml:space="preserve">1. </w:t>
      </w:r>
      <w:r w:rsidR="00614E5B" w:rsidRPr="00A12D16">
        <w:rPr>
          <w:rFonts w:ascii="Arial" w:hAnsi="Arial" w:cs="Arial"/>
          <w:b/>
          <w:sz w:val="22"/>
          <w:szCs w:val="22"/>
          <w:lang w:val="en-US"/>
        </w:rPr>
        <w:t>General Outlook</w:t>
      </w:r>
    </w:p>
    <w:p w:rsidR="00A63300" w:rsidRPr="00172985" w:rsidRDefault="00614E5B" w:rsidP="007B7B38">
      <w:pPr>
        <w:pStyle w:val="ListParagraph"/>
        <w:numPr>
          <w:ilvl w:val="0"/>
          <w:numId w:val="21"/>
        </w:numPr>
        <w:spacing w:before="120" w:after="120"/>
        <w:ind w:left="426" w:hanging="284"/>
        <w:jc w:val="both"/>
        <w:rPr>
          <w:rFonts w:ascii="Arial" w:hAnsi="Arial"/>
          <w:b/>
          <w:sz w:val="22"/>
          <w:szCs w:val="22"/>
          <w:lang w:val="en-US"/>
        </w:rPr>
      </w:pPr>
      <w:r w:rsidRPr="00A12D16">
        <w:rPr>
          <w:rFonts w:ascii="Arial" w:hAnsi="Arial"/>
          <w:b/>
          <w:sz w:val="22"/>
          <w:szCs w:val="22"/>
          <w:lang w:val="en-US"/>
        </w:rPr>
        <w:t>Global growth is slow and risky</w:t>
      </w:r>
      <w:r w:rsidR="00F67C15" w:rsidRPr="00A12D16">
        <w:rPr>
          <w:rFonts w:ascii="Arial" w:hAnsi="Arial"/>
          <w:b/>
          <w:sz w:val="22"/>
          <w:szCs w:val="22"/>
          <w:lang w:val="en-US"/>
        </w:rPr>
        <w:t xml:space="preserve">: </w:t>
      </w:r>
      <w:r w:rsidR="006D6920" w:rsidRPr="00A12D16">
        <w:rPr>
          <w:rFonts w:ascii="Arial" w:hAnsi="Arial" w:cs="Arial"/>
          <w:sz w:val="22"/>
          <w:szCs w:val="22"/>
          <w:lang w:val="en-US"/>
        </w:rPr>
        <w:t xml:space="preserve">In the third quarter of 2015, volatility in global financial markets continued because of uncertainties in monetary policies of </w:t>
      </w:r>
      <w:r w:rsidR="00460D62" w:rsidRPr="00A12D16">
        <w:rPr>
          <w:rFonts w:ascii="Arial" w:hAnsi="Arial" w:cs="Arial"/>
          <w:sz w:val="22"/>
          <w:szCs w:val="22"/>
          <w:lang w:val="en-US"/>
        </w:rPr>
        <w:t>developed</w:t>
      </w:r>
      <w:r w:rsidR="00172985">
        <w:rPr>
          <w:rFonts w:ascii="Arial" w:hAnsi="Arial" w:cs="Arial"/>
          <w:sz w:val="22"/>
          <w:szCs w:val="22"/>
          <w:lang w:val="en-US"/>
        </w:rPr>
        <w:t xml:space="preserve"> </w:t>
      </w:r>
      <w:r w:rsidR="00172985" w:rsidRPr="00172985">
        <w:rPr>
          <w:rFonts w:ascii="Arial" w:hAnsi="Arial" w:cs="Arial"/>
          <w:sz w:val="22"/>
          <w:szCs w:val="22"/>
          <w:lang w:val="en-US"/>
        </w:rPr>
        <w:t>economies.</w:t>
      </w:r>
      <w:r w:rsidR="00A8236A" w:rsidRPr="00172985">
        <w:rPr>
          <w:rFonts w:ascii="Arial" w:hAnsi="Arial" w:cs="Arial"/>
          <w:sz w:val="22"/>
          <w:szCs w:val="22"/>
          <w:lang w:val="en-US"/>
        </w:rPr>
        <w:t xml:space="preserve"> </w:t>
      </w:r>
      <w:r w:rsidR="007B7B38" w:rsidRPr="00172985">
        <w:rPr>
          <w:rFonts w:ascii="Arial" w:hAnsi="Arial" w:cs="Arial"/>
          <w:sz w:val="22"/>
          <w:szCs w:val="22"/>
          <w:lang w:val="en-US"/>
        </w:rPr>
        <w:t>Precarious</w:t>
      </w:r>
      <w:r w:rsidR="00F67C15" w:rsidRPr="00172985">
        <w:rPr>
          <w:rFonts w:ascii="Arial" w:hAnsi="Arial" w:cs="Arial"/>
          <w:sz w:val="22"/>
          <w:szCs w:val="22"/>
          <w:lang w:val="en-US"/>
        </w:rPr>
        <w:t xml:space="preserve"> growth </w:t>
      </w:r>
      <w:r w:rsidR="007B7B38" w:rsidRPr="00172985">
        <w:rPr>
          <w:rFonts w:ascii="Arial" w:hAnsi="Arial" w:cs="Arial"/>
          <w:sz w:val="22"/>
          <w:szCs w:val="22"/>
          <w:lang w:val="en-US"/>
        </w:rPr>
        <w:t xml:space="preserve">trend </w:t>
      </w:r>
      <w:r w:rsidR="00F67C15" w:rsidRPr="00172985">
        <w:rPr>
          <w:rFonts w:ascii="Arial" w:hAnsi="Arial" w:cs="Arial"/>
          <w:sz w:val="22"/>
          <w:szCs w:val="22"/>
          <w:lang w:val="en-US"/>
        </w:rPr>
        <w:t xml:space="preserve">in the US and </w:t>
      </w:r>
      <w:proofErr w:type="gramStart"/>
      <w:r w:rsidR="00F67C15" w:rsidRPr="00172985">
        <w:rPr>
          <w:rFonts w:ascii="Arial" w:hAnsi="Arial" w:cs="Arial"/>
          <w:sz w:val="22"/>
          <w:szCs w:val="22"/>
          <w:lang w:val="en-US"/>
        </w:rPr>
        <w:t>ongoing concerns about growth in Europe is</w:t>
      </w:r>
      <w:proofErr w:type="gramEnd"/>
      <w:r w:rsidR="00F67C15" w:rsidRPr="00172985">
        <w:rPr>
          <w:rFonts w:ascii="Arial" w:hAnsi="Arial" w:cs="Arial"/>
          <w:sz w:val="22"/>
          <w:szCs w:val="22"/>
          <w:lang w:val="en-US"/>
        </w:rPr>
        <w:t xml:space="preserve"> creating uncertainty in the market. Increased uncertainty causes slowing emerging economies and commodity prices are suppressed.</w:t>
      </w:r>
    </w:p>
    <w:p w:rsidR="00A63300" w:rsidRPr="00172985" w:rsidRDefault="00A63300" w:rsidP="00A63300">
      <w:pPr>
        <w:pStyle w:val="ListParagraph"/>
        <w:spacing w:before="120" w:after="120"/>
        <w:ind w:left="426"/>
        <w:jc w:val="both"/>
        <w:rPr>
          <w:rFonts w:ascii="Arial" w:hAnsi="Arial"/>
          <w:b/>
          <w:sz w:val="22"/>
          <w:szCs w:val="22"/>
          <w:lang w:val="en-US"/>
        </w:rPr>
      </w:pPr>
    </w:p>
    <w:p w:rsidR="000B5928" w:rsidRPr="00172985" w:rsidRDefault="00F67C15" w:rsidP="00A63300">
      <w:pPr>
        <w:pStyle w:val="ListParagraph"/>
        <w:numPr>
          <w:ilvl w:val="0"/>
          <w:numId w:val="21"/>
        </w:numPr>
        <w:spacing w:before="120" w:after="120"/>
        <w:ind w:left="426"/>
        <w:jc w:val="both"/>
        <w:rPr>
          <w:rFonts w:ascii="Arial" w:hAnsi="Arial"/>
          <w:b/>
          <w:sz w:val="22"/>
          <w:szCs w:val="22"/>
          <w:lang w:val="en-US"/>
        </w:rPr>
      </w:pPr>
      <w:r w:rsidRPr="00172985">
        <w:rPr>
          <w:rFonts w:ascii="Arial" w:hAnsi="Arial" w:cs="Arial"/>
          <w:sz w:val="22"/>
          <w:szCs w:val="22"/>
          <w:lang w:val="en-US"/>
        </w:rPr>
        <w:t>Growth rate of Turkey has been exceeded expectations in 2015. But growth performance still remains below the targets and potential growth level</w:t>
      </w:r>
      <w:r w:rsidR="007B7B38" w:rsidRPr="00172985">
        <w:rPr>
          <w:rFonts w:ascii="Arial" w:hAnsi="Arial" w:cs="Arial"/>
          <w:sz w:val="22"/>
          <w:szCs w:val="22"/>
          <w:lang w:val="en-US"/>
        </w:rPr>
        <w:t>.</w:t>
      </w:r>
      <w:r w:rsidRPr="00172985">
        <w:t xml:space="preserve"> </w:t>
      </w:r>
      <w:r w:rsidRPr="00172985">
        <w:rPr>
          <w:rFonts w:ascii="Arial" w:hAnsi="Arial" w:cs="Arial"/>
          <w:sz w:val="22"/>
          <w:szCs w:val="22"/>
          <w:lang w:val="en-US"/>
        </w:rPr>
        <w:t xml:space="preserve">Growth stems largely from </w:t>
      </w:r>
      <w:r w:rsidR="007B7B38" w:rsidRPr="00172985">
        <w:rPr>
          <w:rFonts w:ascii="Arial" w:hAnsi="Arial" w:cs="Arial"/>
          <w:sz w:val="22"/>
          <w:szCs w:val="22"/>
          <w:lang w:val="en-US"/>
        </w:rPr>
        <w:t xml:space="preserve">private </w:t>
      </w:r>
      <w:r w:rsidRPr="00172985">
        <w:rPr>
          <w:rFonts w:ascii="Arial" w:hAnsi="Arial" w:cs="Arial"/>
          <w:sz w:val="22"/>
          <w:szCs w:val="22"/>
          <w:lang w:val="en-US"/>
        </w:rPr>
        <w:t>consumption. In addition, there is also the revival in investment spending.</w:t>
      </w:r>
      <w:r w:rsidR="006262B5" w:rsidRPr="00172985">
        <w:rPr>
          <w:rFonts w:ascii="Arial" w:hAnsi="Arial" w:cs="Arial"/>
          <w:sz w:val="22"/>
          <w:szCs w:val="22"/>
          <w:lang w:val="en-US"/>
        </w:rPr>
        <w:t xml:space="preserve"> </w:t>
      </w:r>
      <w:r w:rsidRPr="00172985">
        <w:rPr>
          <w:rFonts w:ascii="Arial" w:hAnsi="Arial" w:cs="Arial"/>
          <w:sz w:val="22"/>
          <w:szCs w:val="22"/>
          <w:lang w:val="en-US"/>
        </w:rPr>
        <w:t xml:space="preserve">Low oil prices are supporting to the recovery in foreign trade and current account </w:t>
      </w:r>
      <w:r w:rsidR="007B7B38" w:rsidRPr="00172985">
        <w:rPr>
          <w:rFonts w:ascii="Arial" w:hAnsi="Arial" w:cs="Arial"/>
          <w:sz w:val="22"/>
          <w:szCs w:val="22"/>
          <w:lang w:val="en-US"/>
        </w:rPr>
        <w:t>deficit</w:t>
      </w:r>
      <w:r w:rsidRPr="00172985">
        <w:rPr>
          <w:rFonts w:ascii="Arial" w:hAnsi="Arial" w:cs="Arial"/>
          <w:sz w:val="22"/>
          <w:szCs w:val="22"/>
          <w:lang w:val="en-US"/>
        </w:rPr>
        <w:t>.</w:t>
      </w:r>
    </w:p>
    <w:p w:rsidR="00A63300" w:rsidRPr="00A12D16" w:rsidRDefault="00A63300" w:rsidP="00A63300">
      <w:pPr>
        <w:pStyle w:val="ListParagraph"/>
        <w:rPr>
          <w:rFonts w:ascii="Arial" w:hAnsi="Arial"/>
          <w:b/>
          <w:sz w:val="22"/>
          <w:szCs w:val="22"/>
          <w:lang w:val="en-US"/>
        </w:rPr>
      </w:pPr>
    </w:p>
    <w:p w:rsidR="00A12D16" w:rsidRPr="007B7B38" w:rsidRDefault="00A63300" w:rsidP="007B7B38">
      <w:pPr>
        <w:pStyle w:val="ListParagraph"/>
        <w:numPr>
          <w:ilvl w:val="0"/>
          <w:numId w:val="21"/>
        </w:numPr>
        <w:spacing w:before="120" w:after="120"/>
        <w:ind w:left="426"/>
        <w:jc w:val="both"/>
        <w:rPr>
          <w:rFonts w:ascii="Arial" w:hAnsi="Arial" w:cs="Arial"/>
          <w:sz w:val="22"/>
          <w:szCs w:val="22"/>
          <w:lang w:val="en-US"/>
        </w:rPr>
      </w:pPr>
      <w:r w:rsidRPr="00A12D16">
        <w:rPr>
          <w:rFonts w:ascii="Arial" w:hAnsi="Arial" w:cs="Arial"/>
          <w:b/>
          <w:sz w:val="22"/>
          <w:szCs w:val="22"/>
          <w:lang w:val="en-US"/>
        </w:rPr>
        <w:t>The Central Bank continued its prudent monetary policy stance</w:t>
      </w:r>
      <w:r w:rsidR="00DE5855" w:rsidRPr="00A12D16">
        <w:rPr>
          <w:rFonts w:ascii="Arial" w:hAnsi="Arial" w:cs="Arial"/>
          <w:b/>
          <w:sz w:val="22"/>
          <w:szCs w:val="22"/>
          <w:lang w:val="en-US"/>
        </w:rPr>
        <w:t>:</w:t>
      </w:r>
      <w:r w:rsidR="00DE5855" w:rsidRPr="00A12D16">
        <w:rPr>
          <w:rFonts w:ascii="Arial" w:hAnsi="Arial" w:cs="Arial"/>
          <w:sz w:val="22"/>
          <w:szCs w:val="22"/>
          <w:lang w:val="en-US"/>
        </w:rPr>
        <w:t xml:space="preserve"> </w:t>
      </w:r>
      <w:r w:rsidR="00E61AA0" w:rsidRPr="00A12D16">
        <w:rPr>
          <w:rFonts w:ascii="Arial" w:hAnsi="Arial" w:cs="Arial"/>
          <w:sz w:val="22"/>
          <w:szCs w:val="22"/>
          <w:lang w:val="en-US"/>
        </w:rPr>
        <w:t xml:space="preserve">Due to the global uncertainty, depreciation of TL and the rise of inflation, the weighted average cost of funding increased </w:t>
      </w:r>
      <w:r w:rsidR="00E61AA0" w:rsidRPr="00A12D16">
        <w:rPr>
          <w:rFonts w:ascii="Arial" w:hAnsi="Arial" w:cs="Arial"/>
          <w:b/>
          <w:sz w:val="22"/>
          <w:szCs w:val="22"/>
          <w:lang w:val="en-US"/>
        </w:rPr>
        <w:t>0.4</w:t>
      </w:r>
      <w:r w:rsidR="00E61AA0" w:rsidRPr="00A12D16">
        <w:rPr>
          <w:rFonts w:ascii="Arial" w:hAnsi="Arial" w:cs="Arial"/>
          <w:sz w:val="22"/>
          <w:szCs w:val="22"/>
          <w:lang w:val="en-US"/>
        </w:rPr>
        <w:t xml:space="preserve"> percentage point compared to the previous quarter and reached to </w:t>
      </w:r>
      <w:r w:rsidR="00E61AA0" w:rsidRPr="00A12D16">
        <w:rPr>
          <w:rFonts w:ascii="Arial" w:hAnsi="Arial" w:cs="Arial"/>
          <w:b/>
          <w:sz w:val="22"/>
          <w:szCs w:val="22"/>
          <w:lang w:val="en-US"/>
        </w:rPr>
        <w:t>8.9</w:t>
      </w:r>
      <w:r w:rsidR="00E61AA0" w:rsidRPr="00A12D16">
        <w:rPr>
          <w:rFonts w:ascii="Arial" w:hAnsi="Arial" w:cs="Arial"/>
          <w:sz w:val="22"/>
          <w:szCs w:val="22"/>
          <w:lang w:val="en-US"/>
        </w:rPr>
        <w:t xml:space="preserve"> percent.</w:t>
      </w:r>
    </w:p>
    <w:p w:rsidR="00CB11EF" w:rsidRPr="00A12D16" w:rsidRDefault="00641A2F" w:rsidP="00C06DDF">
      <w:pPr>
        <w:spacing w:before="120" w:after="120"/>
        <w:jc w:val="both"/>
        <w:rPr>
          <w:rFonts w:ascii="Arial" w:hAnsi="Arial" w:cs="Arial"/>
          <w:b/>
          <w:sz w:val="22"/>
          <w:szCs w:val="22"/>
        </w:rPr>
      </w:pPr>
      <w:bookmarkStart w:id="1" w:name="OLE_LINK17"/>
      <w:bookmarkStart w:id="2" w:name="OLE_LINK18"/>
      <w:r w:rsidRPr="00A12D16">
        <w:rPr>
          <w:rFonts w:ascii="Arial" w:hAnsi="Arial" w:cs="Arial"/>
          <w:b/>
          <w:sz w:val="22"/>
          <w:szCs w:val="22"/>
        </w:rPr>
        <w:t>2.</w:t>
      </w:r>
      <w:r w:rsidR="00CB11EF" w:rsidRPr="00A12D16">
        <w:rPr>
          <w:rFonts w:ascii="Arial" w:hAnsi="Arial" w:cs="Arial"/>
          <w:b/>
          <w:sz w:val="22"/>
          <w:szCs w:val="22"/>
        </w:rPr>
        <w:t xml:space="preserve"> </w:t>
      </w:r>
      <w:r w:rsidR="00A12D16" w:rsidRPr="00A12D16">
        <w:rPr>
          <w:rFonts w:ascii="Arial" w:hAnsi="Arial" w:cs="Arial"/>
          <w:b/>
          <w:sz w:val="22"/>
          <w:szCs w:val="22"/>
        </w:rPr>
        <w:t>Developments in Banking Sector:</w:t>
      </w:r>
    </w:p>
    <w:p w:rsidR="008C1C09" w:rsidRPr="00A12D16" w:rsidRDefault="008C1C09" w:rsidP="00614E5B">
      <w:pPr>
        <w:pStyle w:val="ListParagraph"/>
        <w:numPr>
          <w:ilvl w:val="0"/>
          <w:numId w:val="20"/>
        </w:numPr>
        <w:ind w:left="426"/>
        <w:jc w:val="both"/>
        <w:rPr>
          <w:rFonts w:ascii="Arial" w:hAnsi="Arial" w:cs="Arial"/>
          <w:sz w:val="22"/>
          <w:szCs w:val="22"/>
          <w:lang w:val="en-US"/>
        </w:rPr>
      </w:pPr>
      <w:r w:rsidRPr="00A12D16">
        <w:rPr>
          <w:rFonts w:ascii="Arial" w:hAnsi="Arial" w:cs="Arial"/>
          <w:sz w:val="22"/>
          <w:szCs w:val="22"/>
          <w:lang w:val="en-US"/>
        </w:rPr>
        <w:t xml:space="preserve">Total assets increased by </w:t>
      </w:r>
      <w:r w:rsidRPr="00A12D16">
        <w:rPr>
          <w:rFonts w:ascii="Arial" w:hAnsi="Arial" w:cs="Arial"/>
          <w:b/>
          <w:sz w:val="22"/>
          <w:szCs w:val="22"/>
          <w:lang w:val="en-US"/>
        </w:rPr>
        <w:t xml:space="preserve">24.5 </w:t>
      </w:r>
      <w:r w:rsidRPr="00A12D16">
        <w:rPr>
          <w:rFonts w:ascii="Arial" w:hAnsi="Arial" w:cs="Arial"/>
          <w:sz w:val="22"/>
          <w:szCs w:val="22"/>
          <w:lang w:val="en-US"/>
        </w:rPr>
        <w:t xml:space="preserve">percent in TL terms by September 2015 compared to the same period of 2014 and reached TL </w:t>
      </w:r>
      <w:r w:rsidRPr="00A12D16">
        <w:rPr>
          <w:rFonts w:ascii="Arial" w:hAnsi="Arial" w:cs="Arial"/>
          <w:b/>
          <w:sz w:val="22"/>
          <w:szCs w:val="22"/>
          <w:lang w:val="en-US"/>
        </w:rPr>
        <w:t xml:space="preserve">2,272 </w:t>
      </w:r>
      <w:r w:rsidRPr="00A12D16">
        <w:rPr>
          <w:rFonts w:ascii="Arial" w:hAnsi="Arial" w:cs="Arial"/>
          <w:sz w:val="22"/>
          <w:szCs w:val="22"/>
          <w:lang w:val="en-US"/>
        </w:rPr>
        <w:t xml:space="preserve">billion (USD </w:t>
      </w:r>
      <w:r w:rsidRPr="00A12D16">
        <w:rPr>
          <w:rFonts w:ascii="Arial" w:hAnsi="Arial" w:cs="Arial"/>
          <w:b/>
          <w:sz w:val="22"/>
          <w:szCs w:val="22"/>
          <w:lang w:val="en-US"/>
        </w:rPr>
        <w:t>751</w:t>
      </w:r>
      <w:r w:rsidRPr="00A12D16">
        <w:rPr>
          <w:rFonts w:ascii="Arial" w:hAnsi="Arial" w:cs="Arial"/>
          <w:sz w:val="22"/>
          <w:szCs w:val="22"/>
          <w:lang w:val="en-US"/>
        </w:rPr>
        <w:t xml:space="preserve"> billion).</w:t>
      </w:r>
      <w:r w:rsidR="00614E5B" w:rsidRPr="00A12D16">
        <w:rPr>
          <w:rFonts w:ascii="Arial" w:hAnsi="Arial" w:cs="Arial"/>
          <w:sz w:val="22"/>
          <w:szCs w:val="22"/>
          <w:lang w:val="en-US"/>
        </w:rPr>
        <w:t xml:space="preserve"> Total assets contracted by </w:t>
      </w:r>
      <w:r w:rsidR="00614E5B" w:rsidRPr="00A12D16">
        <w:rPr>
          <w:rFonts w:ascii="Arial" w:hAnsi="Arial" w:cs="Arial"/>
          <w:b/>
          <w:sz w:val="22"/>
          <w:szCs w:val="22"/>
          <w:lang w:val="en-US"/>
        </w:rPr>
        <w:t xml:space="preserve">6.3 </w:t>
      </w:r>
      <w:r w:rsidR="00614E5B" w:rsidRPr="00A12D16">
        <w:rPr>
          <w:rFonts w:ascii="Arial" w:hAnsi="Arial" w:cs="Arial"/>
          <w:sz w:val="22"/>
          <w:szCs w:val="22"/>
          <w:lang w:val="en-US"/>
        </w:rPr>
        <w:t xml:space="preserve">percent in dollar terms </w:t>
      </w:r>
      <w:proofErr w:type="gramStart"/>
      <w:r w:rsidRPr="00A12D16">
        <w:rPr>
          <w:rFonts w:ascii="Arial" w:hAnsi="Arial" w:cs="Arial"/>
          <w:sz w:val="22"/>
          <w:szCs w:val="22"/>
          <w:lang w:val="en-US"/>
        </w:rPr>
        <w:t>The</w:t>
      </w:r>
      <w:proofErr w:type="gramEnd"/>
      <w:r w:rsidRPr="00A12D16">
        <w:rPr>
          <w:rFonts w:ascii="Arial" w:hAnsi="Arial" w:cs="Arial"/>
          <w:sz w:val="22"/>
          <w:szCs w:val="22"/>
          <w:lang w:val="en-US"/>
        </w:rPr>
        <w:t xml:space="preserve"> ratio of total assets to </w:t>
      </w:r>
      <w:proofErr w:type="spellStart"/>
      <w:r w:rsidRPr="00A12D16">
        <w:rPr>
          <w:rFonts w:ascii="Arial" w:hAnsi="Arial" w:cs="Arial"/>
          <w:sz w:val="22"/>
          <w:szCs w:val="22"/>
          <w:lang w:val="en-US"/>
        </w:rPr>
        <w:t>gdp</w:t>
      </w:r>
      <w:proofErr w:type="spellEnd"/>
      <w:r w:rsidRPr="00A12D16">
        <w:rPr>
          <w:rFonts w:ascii="Arial" w:hAnsi="Arial" w:cs="Arial"/>
          <w:sz w:val="22"/>
          <w:szCs w:val="22"/>
          <w:lang w:val="en-US"/>
        </w:rPr>
        <w:t xml:space="preserve"> is estimated </w:t>
      </w:r>
      <w:r w:rsidRPr="00A12D16">
        <w:rPr>
          <w:rFonts w:ascii="Arial" w:hAnsi="Arial" w:cs="Arial"/>
          <w:b/>
          <w:sz w:val="22"/>
          <w:szCs w:val="22"/>
          <w:lang w:val="en-US"/>
        </w:rPr>
        <w:t>120</w:t>
      </w:r>
      <w:r w:rsidRPr="00A12D16">
        <w:rPr>
          <w:rFonts w:ascii="Arial" w:hAnsi="Arial" w:cs="Arial"/>
          <w:sz w:val="22"/>
          <w:szCs w:val="22"/>
          <w:lang w:val="en-US"/>
        </w:rPr>
        <w:t xml:space="preserve"> percent as of third quarter of 2015.</w:t>
      </w:r>
    </w:p>
    <w:bookmarkEnd w:id="1"/>
    <w:bookmarkEnd w:id="2"/>
    <w:p w:rsidR="00614E5B" w:rsidRPr="00A12D16" w:rsidRDefault="00614E5B" w:rsidP="00614E5B">
      <w:pPr>
        <w:pStyle w:val="ListParagraph"/>
        <w:ind w:left="426"/>
        <w:jc w:val="both"/>
        <w:rPr>
          <w:rFonts w:ascii="Arial" w:hAnsi="Arial" w:cs="Arial"/>
          <w:sz w:val="22"/>
          <w:szCs w:val="22"/>
          <w:lang w:val="en-US"/>
        </w:rPr>
      </w:pPr>
    </w:p>
    <w:p w:rsidR="00614E5B" w:rsidRPr="00A12D16" w:rsidRDefault="00614E5B" w:rsidP="00614E5B">
      <w:pPr>
        <w:pStyle w:val="ListParagraph"/>
        <w:numPr>
          <w:ilvl w:val="0"/>
          <w:numId w:val="20"/>
        </w:numPr>
        <w:ind w:left="426"/>
        <w:jc w:val="both"/>
        <w:rPr>
          <w:rFonts w:ascii="Arial" w:hAnsi="Arial" w:cs="Arial"/>
          <w:sz w:val="22"/>
          <w:szCs w:val="22"/>
          <w:lang w:val="en-US"/>
        </w:rPr>
      </w:pPr>
      <w:r w:rsidRPr="00A12D16">
        <w:rPr>
          <w:rFonts w:ascii="Arial" w:hAnsi="Arial" w:cs="Arial"/>
          <w:sz w:val="22"/>
          <w:szCs w:val="22"/>
          <w:lang w:val="en-US"/>
        </w:rPr>
        <w:t>Total loans increased by</w:t>
      </w:r>
      <w:r w:rsidRPr="00A12D16">
        <w:rPr>
          <w:rFonts w:ascii="Arial" w:hAnsi="Arial" w:cs="Arial"/>
          <w:b/>
          <w:sz w:val="22"/>
          <w:szCs w:val="22"/>
          <w:lang w:val="en-US"/>
        </w:rPr>
        <w:t xml:space="preserve"> 26 </w:t>
      </w:r>
      <w:r w:rsidRPr="00A12D16">
        <w:rPr>
          <w:rFonts w:ascii="Arial" w:hAnsi="Arial" w:cs="Arial"/>
          <w:sz w:val="22"/>
          <w:szCs w:val="22"/>
          <w:lang w:val="en-US"/>
        </w:rPr>
        <w:t xml:space="preserve">percent on an annual basis as of September 2015. The annual growth of loans was </w:t>
      </w:r>
      <w:r w:rsidRPr="00A12D16">
        <w:rPr>
          <w:rFonts w:ascii="Arial" w:hAnsi="Arial" w:cs="Arial"/>
          <w:b/>
          <w:sz w:val="22"/>
          <w:szCs w:val="22"/>
          <w:lang w:val="en-US"/>
        </w:rPr>
        <w:t>18</w:t>
      </w:r>
      <w:r w:rsidRPr="00A12D16">
        <w:rPr>
          <w:rFonts w:ascii="Arial" w:hAnsi="Arial" w:cs="Arial"/>
          <w:sz w:val="22"/>
          <w:szCs w:val="22"/>
          <w:lang w:val="en-US"/>
        </w:rPr>
        <w:t xml:space="preserve"> percent in fixed foreign exchange rate. As of September, the annual growth of retail loans was </w:t>
      </w:r>
      <w:r w:rsidRPr="00A12D16">
        <w:rPr>
          <w:rFonts w:ascii="Arial" w:hAnsi="Arial" w:cs="Arial"/>
          <w:b/>
          <w:sz w:val="22"/>
          <w:szCs w:val="22"/>
          <w:lang w:val="en-US"/>
        </w:rPr>
        <w:t xml:space="preserve">11 </w:t>
      </w:r>
      <w:r w:rsidRPr="00A12D16">
        <w:rPr>
          <w:rFonts w:ascii="Arial" w:hAnsi="Arial" w:cs="Arial"/>
          <w:sz w:val="22"/>
          <w:szCs w:val="22"/>
          <w:lang w:val="en-US"/>
        </w:rPr>
        <w:t xml:space="preserve">percent and </w:t>
      </w:r>
      <w:proofErr w:type="gramStart"/>
      <w:r w:rsidRPr="00A12D16">
        <w:rPr>
          <w:rFonts w:ascii="Arial" w:hAnsi="Arial" w:cs="Arial"/>
          <w:sz w:val="22"/>
          <w:szCs w:val="22"/>
          <w:lang w:val="en-US"/>
        </w:rPr>
        <w:t>corporate loans was</w:t>
      </w:r>
      <w:proofErr w:type="gramEnd"/>
      <w:r w:rsidRPr="00A12D16">
        <w:rPr>
          <w:rFonts w:ascii="Arial" w:hAnsi="Arial" w:cs="Arial"/>
          <w:sz w:val="22"/>
          <w:szCs w:val="22"/>
          <w:lang w:val="en-US"/>
        </w:rPr>
        <w:t xml:space="preserve"> </w:t>
      </w:r>
      <w:r w:rsidRPr="00A12D16">
        <w:rPr>
          <w:rFonts w:ascii="Arial" w:hAnsi="Arial" w:cs="Arial"/>
          <w:b/>
          <w:sz w:val="22"/>
          <w:szCs w:val="22"/>
          <w:lang w:val="en-US"/>
        </w:rPr>
        <w:t>31</w:t>
      </w:r>
      <w:r w:rsidRPr="00A12D16">
        <w:rPr>
          <w:rFonts w:ascii="Arial" w:hAnsi="Arial" w:cs="Arial"/>
          <w:sz w:val="22"/>
          <w:szCs w:val="22"/>
          <w:lang w:val="en-US"/>
        </w:rPr>
        <w:t xml:space="preserve"> percent. On the other hand, the depreciation of the TL caused higher risks by increasing the total TL equivalent of FX items</w:t>
      </w:r>
      <w:r w:rsidR="007B7B38">
        <w:rPr>
          <w:rFonts w:ascii="Arial" w:hAnsi="Arial" w:cs="Arial"/>
          <w:sz w:val="22"/>
          <w:szCs w:val="22"/>
          <w:lang w:val="en-US"/>
        </w:rPr>
        <w:t>.</w:t>
      </w:r>
    </w:p>
    <w:p w:rsidR="00614E5B" w:rsidRPr="00A12D16" w:rsidRDefault="00614E5B" w:rsidP="00614E5B">
      <w:pPr>
        <w:pStyle w:val="ListParagraph"/>
        <w:rPr>
          <w:rFonts w:ascii="Arial" w:hAnsi="Arial" w:cs="Arial"/>
          <w:sz w:val="22"/>
          <w:szCs w:val="22"/>
          <w:lang w:val="en-US"/>
        </w:rPr>
      </w:pPr>
    </w:p>
    <w:p w:rsidR="00D62A7F" w:rsidRPr="00A12D16" w:rsidRDefault="00D62A7F" w:rsidP="00D62A7F">
      <w:pPr>
        <w:pStyle w:val="ListParagraph"/>
        <w:numPr>
          <w:ilvl w:val="0"/>
          <w:numId w:val="20"/>
        </w:numPr>
        <w:ind w:left="426"/>
        <w:jc w:val="both"/>
        <w:rPr>
          <w:rFonts w:ascii="Arial" w:hAnsi="Arial" w:cs="Arial"/>
          <w:sz w:val="22"/>
          <w:szCs w:val="22"/>
          <w:lang w:val="en-US"/>
        </w:rPr>
      </w:pPr>
      <w:r w:rsidRPr="00A12D16">
        <w:rPr>
          <w:rFonts w:ascii="Arial" w:hAnsi="Arial" w:cs="Arial"/>
          <w:sz w:val="22"/>
          <w:szCs w:val="22"/>
          <w:lang w:val="en-US"/>
        </w:rPr>
        <w:t xml:space="preserve">Loans to deposits ratio was </w:t>
      </w:r>
      <w:r w:rsidRPr="00A12D16">
        <w:rPr>
          <w:rFonts w:ascii="Arial" w:hAnsi="Arial" w:cs="Arial"/>
          <w:b/>
          <w:sz w:val="22"/>
          <w:szCs w:val="22"/>
          <w:lang w:val="en-US"/>
        </w:rPr>
        <w:t>114</w:t>
      </w:r>
      <w:r w:rsidRPr="00A12D16">
        <w:rPr>
          <w:rFonts w:ascii="Arial" w:hAnsi="Arial" w:cs="Arial"/>
          <w:sz w:val="22"/>
          <w:szCs w:val="22"/>
          <w:lang w:val="en-US"/>
        </w:rPr>
        <w:t xml:space="preserve"> percent by increasing 2 points compared to the same period of last year. The same ratio was </w:t>
      </w:r>
      <w:r w:rsidRPr="00A12D16">
        <w:rPr>
          <w:rFonts w:ascii="Arial" w:hAnsi="Arial" w:cs="Arial"/>
          <w:b/>
          <w:sz w:val="22"/>
          <w:szCs w:val="22"/>
          <w:lang w:val="en-US"/>
        </w:rPr>
        <w:t>102</w:t>
      </w:r>
      <w:r w:rsidRPr="00A12D16">
        <w:rPr>
          <w:rFonts w:ascii="Arial" w:hAnsi="Arial" w:cs="Arial"/>
          <w:sz w:val="22"/>
          <w:szCs w:val="22"/>
          <w:lang w:val="en-US"/>
        </w:rPr>
        <w:t xml:space="preserve"> percent in state-owned banks, </w:t>
      </w:r>
      <w:r w:rsidRPr="00A12D16">
        <w:rPr>
          <w:rFonts w:ascii="Arial" w:hAnsi="Arial" w:cs="Arial"/>
          <w:b/>
          <w:sz w:val="22"/>
          <w:szCs w:val="22"/>
          <w:lang w:val="en-US"/>
        </w:rPr>
        <w:t xml:space="preserve">110 </w:t>
      </w:r>
      <w:r w:rsidRPr="00A12D16">
        <w:rPr>
          <w:rFonts w:ascii="Arial" w:hAnsi="Arial" w:cs="Arial"/>
          <w:sz w:val="22"/>
          <w:szCs w:val="22"/>
          <w:lang w:val="en-US"/>
        </w:rPr>
        <w:t xml:space="preserve">percent in private banks and </w:t>
      </w:r>
      <w:r w:rsidRPr="00A12D16">
        <w:rPr>
          <w:rFonts w:ascii="Arial" w:hAnsi="Arial" w:cs="Arial"/>
          <w:b/>
          <w:sz w:val="22"/>
          <w:szCs w:val="22"/>
          <w:lang w:val="en-US"/>
        </w:rPr>
        <w:t>114</w:t>
      </w:r>
      <w:r w:rsidRPr="00A12D16">
        <w:rPr>
          <w:rFonts w:ascii="Arial" w:hAnsi="Arial" w:cs="Arial"/>
          <w:sz w:val="22"/>
          <w:szCs w:val="22"/>
          <w:lang w:val="en-US"/>
        </w:rPr>
        <w:t xml:space="preserve"> percent in foreign banks as of June 2015. </w:t>
      </w:r>
    </w:p>
    <w:p w:rsidR="00C5615B" w:rsidRPr="00A12D16" w:rsidRDefault="00C5615B" w:rsidP="00D62A7F">
      <w:pPr>
        <w:pStyle w:val="ListParagraph"/>
        <w:jc w:val="both"/>
        <w:rPr>
          <w:rFonts w:ascii="Arial" w:hAnsi="Arial" w:cs="Arial"/>
          <w:sz w:val="10"/>
          <w:szCs w:val="10"/>
          <w:lang w:val="en-US"/>
        </w:rPr>
      </w:pPr>
    </w:p>
    <w:p w:rsidR="00D62A7F" w:rsidRPr="00A12D16" w:rsidRDefault="00D62A7F" w:rsidP="00D62A7F">
      <w:pPr>
        <w:pStyle w:val="ListParagraph"/>
        <w:numPr>
          <w:ilvl w:val="0"/>
          <w:numId w:val="23"/>
        </w:numPr>
        <w:spacing w:before="120" w:after="120"/>
        <w:ind w:left="426"/>
        <w:jc w:val="both"/>
        <w:rPr>
          <w:rFonts w:ascii="Arial" w:hAnsi="Arial" w:cs="Arial"/>
          <w:sz w:val="22"/>
          <w:szCs w:val="22"/>
          <w:lang w:val="en-US"/>
        </w:rPr>
      </w:pPr>
      <w:r w:rsidRPr="00A12D16">
        <w:rPr>
          <w:rFonts w:ascii="Arial" w:hAnsi="Arial" w:cs="Arial"/>
          <w:sz w:val="22"/>
          <w:szCs w:val="22"/>
          <w:lang w:val="en-US"/>
        </w:rPr>
        <w:lastRenderedPageBreak/>
        <w:t xml:space="preserve">Non-performing loans increased annually by </w:t>
      </w:r>
      <w:r w:rsidRPr="00A12D16">
        <w:rPr>
          <w:rFonts w:ascii="Arial" w:hAnsi="Arial" w:cs="Arial"/>
          <w:b/>
          <w:sz w:val="22"/>
          <w:szCs w:val="22"/>
          <w:lang w:val="en-US"/>
        </w:rPr>
        <w:t>25</w:t>
      </w:r>
      <w:r w:rsidRPr="00A12D16">
        <w:rPr>
          <w:rFonts w:ascii="Arial" w:hAnsi="Arial" w:cs="Arial"/>
          <w:sz w:val="22"/>
          <w:szCs w:val="22"/>
          <w:lang w:val="en-US"/>
        </w:rPr>
        <w:t xml:space="preserve"> percent as of September 2015.  The ratio of non-performing loans (NPLs, gross) to loan stock remained at </w:t>
      </w:r>
      <w:r w:rsidRPr="00A12D16">
        <w:rPr>
          <w:rFonts w:ascii="Arial" w:hAnsi="Arial" w:cs="Arial"/>
          <w:b/>
          <w:sz w:val="22"/>
          <w:szCs w:val="22"/>
          <w:lang w:val="en-US"/>
        </w:rPr>
        <w:t xml:space="preserve">2.8 </w:t>
      </w:r>
      <w:r w:rsidRPr="00A12D16">
        <w:rPr>
          <w:rFonts w:ascii="Arial" w:hAnsi="Arial" w:cs="Arial"/>
          <w:sz w:val="22"/>
          <w:szCs w:val="22"/>
          <w:lang w:val="en-US"/>
        </w:rPr>
        <w:t xml:space="preserve">percent. Notably, provisions set aside for the NPLs were at the level of </w:t>
      </w:r>
      <w:r w:rsidRPr="00A12D16">
        <w:rPr>
          <w:rFonts w:ascii="Arial" w:hAnsi="Arial" w:cs="Arial"/>
          <w:b/>
          <w:sz w:val="22"/>
          <w:szCs w:val="22"/>
          <w:lang w:val="en-US"/>
        </w:rPr>
        <w:t>75</w:t>
      </w:r>
      <w:r w:rsidRPr="00A12D16">
        <w:rPr>
          <w:rFonts w:ascii="Arial" w:hAnsi="Arial" w:cs="Arial"/>
          <w:sz w:val="22"/>
          <w:szCs w:val="22"/>
          <w:lang w:val="en-US"/>
        </w:rPr>
        <w:t xml:space="preserve"> percent. On the other hand, NPLs that are sold to asset management companies are calculated to be </w:t>
      </w:r>
      <w:r w:rsidRPr="00A12D16">
        <w:rPr>
          <w:rFonts w:ascii="Arial" w:hAnsi="Arial" w:cs="Arial"/>
          <w:b/>
          <w:sz w:val="22"/>
          <w:szCs w:val="22"/>
          <w:lang w:val="en-US"/>
        </w:rPr>
        <w:t>1</w:t>
      </w:r>
      <w:r w:rsidR="00A12D16">
        <w:rPr>
          <w:rFonts w:ascii="Arial" w:hAnsi="Arial" w:cs="Arial"/>
          <w:b/>
          <w:sz w:val="22"/>
          <w:szCs w:val="22"/>
          <w:lang w:val="en-US"/>
        </w:rPr>
        <w:t>.</w:t>
      </w:r>
      <w:r w:rsidRPr="00A12D16">
        <w:rPr>
          <w:rFonts w:ascii="Arial" w:hAnsi="Arial" w:cs="Arial"/>
          <w:b/>
          <w:sz w:val="22"/>
          <w:szCs w:val="22"/>
          <w:lang w:val="en-US"/>
        </w:rPr>
        <w:t>2</w:t>
      </w:r>
      <w:r w:rsidRPr="00A12D16">
        <w:rPr>
          <w:rFonts w:ascii="Arial" w:hAnsi="Arial" w:cs="Arial"/>
          <w:sz w:val="22"/>
          <w:szCs w:val="22"/>
          <w:lang w:val="en-US"/>
        </w:rPr>
        <w:t xml:space="preserve"> percent of total loans</w:t>
      </w:r>
    </w:p>
    <w:p w:rsidR="00C5615B" w:rsidRPr="00A12D16" w:rsidRDefault="00C5615B" w:rsidP="00C5615B">
      <w:pPr>
        <w:pStyle w:val="ListParagraph"/>
        <w:ind w:left="426"/>
        <w:rPr>
          <w:rFonts w:ascii="Arial" w:hAnsi="Arial" w:cs="Arial"/>
          <w:sz w:val="10"/>
          <w:szCs w:val="10"/>
        </w:rPr>
      </w:pPr>
    </w:p>
    <w:p w:rsidR="00935A8A" w:rsidRPr="00A12D16" w:rsidRDefault="00D62A7F" w:rsidP="00935A8A">
      <w:pPr>
        <w:pStyle w:val="ListParagraph"/>
        <w:numPr>
          <w:ilvl w:val="0"/>
          <w:numId w:val="23"/>
        </w:numPr>
        <w:spacing w:before="120" w:after="120"/>
        <w:ind w:left="426"/>
        <w:jc w:val="both"/>
        <w:rPr>
          <w:rFonts w:ascii="Arial" w:hAnsi="Arial" w:cs="Arial"/>
          <w:sz w:val="22"/>
          <w:szCs w:val="22"/>
          <w:lang w:val="en-US"/>
        </w:rPr>
      </w:pPr>
      <w:r w:rsidRPr="00A12D16">
        <w:rPr>
          <w:rFonts w:ascii="Arial" w:hAnsi="Arial" w:cs="Arial"/>
          <w:sz w:val="22"/>
          <w:szCs w:val="22"/>
          <w:lang w:val="en-US"/>
        </w:rPr>
        <w:t xml:space="preserve">Total deposits was TL </w:t>
      </w:r>
      <w:r w:rsidRPr="00A12D16">
        <w:rPr>
          <w:rFonts w:ascii="Arial" w:hAnsi="Arial" w:cs="Arial"/>
          <w:b/>
          <w:sz w:val="22"/>
          <w:szCs w:val="22"/>
          <w:lang w:val="en-US"/>
        </w:rPr>
        <w:t xml:space="preserve">1,277 </w:t>
      </w:r>
      <w:r w:rsidRPr="00A12D16">
        <w:rPr>
          <w:rFonts w:ascii="Arial" w:hAnsi="Arial" w:cs="Arial"/>
          <w:sz w:val="22"/>
          <w:szCs w:val="22"/>
          <w:lang w:val="en-US"/>
        </w:rPr>
        <w:t xml:space="preserve">billion (USD </w:t>
      </w:r>
      <w:r w:rsidRPr="00A12D16">
        <w:rPr>
          <w:rFonts w:ascii="Arial" w:hAnsi="Arial" w:cs="Arial"/>
          <w:b/>
          <w:sz w:val="22"/>
          <w:szCs w:val="22"/>
          <w:lang w:val="en-US"/>
        </w:rPr>
        <w:t xml:space="preserve">422 </w:t>
      </w:r>
      <w:r w:rsidRPr="00A12D16">
        <w:rPr>
          <w:rFonts w:ascii="Arial" w:hAnsi="Arial" w:cs="Arial"/>
          <w:sz w:val="22"/>
          <w:szCs w:val="22"/>
          <w:lang w:val="en-US"/>
        </w:rPr>
        <w:t xml:space="preserve">billion) as of September 2015 with an increase of </w:t>
      </w:r>
      <w:r w:rsidRPr="00A12D16">
        <w:rPr>
          <w:rFonts w:ascii="Arial" w:hAnsi="Arial" w:cs="Arial"/>
          <w:b/>
          <w:sz w:val="22"/>
          <w:szCs w:val="22"/>
          <w:lang w:val="en-US"/>
        </w:rPr>
        <w:t>24.3</w:t>
      </w:r>
      <w:r w:rsidRPr="00A12D16">
        <w:rPr>
          <w:rFonts w:ascii="Arial" w:hAnsi="Arial" w:cs="Arial"/>
          <w:sz w:val="22"/>
          <w:szCs w:val="22"/>
          <w:lang w:val="en-US"/>
        </w:rPr>
        <w:t xml:space="preserve"> percent compared to September 2014. Annual growth in deposits with a fixed exchange rate was </w:t>
      </w:r>
      <w:r w:rsidRPr="00A12D16">
        <w:rPr>
          <w:rFonts w:ascii="Arial" w:hAnsi="Arial" w:cs="Arial"/>
          <w:b/>
          <w:sz w:val="22"/>
          <w:szCs w:val="22"/>
          <w:lang w:val="en-US"/>
        </w:rPr>
        <w:t>11</w:t>
      </w:r>
      <w:r w:rsidRPr="00A12D16">
        <w:rPr>
          <w:rFonts w:ascii="Arial" w:hAnsi="Arial" w:cs="Arial"/>
          <w:sz w:val="22"/>
          <w:szCs w:val="22"/>
          <w:lang w:val="en-US"/>
        </w:rPr>
        <w:t xml:space="preserve"> percent</w:t>
      </w:r>
      <w:r w:rsidR="00935A8A" w:rsidRPr="00A12D16">
        <w:rPr>
          <w:rFonts w:ascii="Arial" w:hAnsi="Arial" w:cs="Arial"/>
          <w:sz w:val="22"/>
          <w:szCs w:val="22"/>
          <w:lang w:val="en-US"/>
        </w:rPr>
        <w:t xml:space="preserve">. FX deposits increased by </w:t>
      </w:r>
      <w:r w:rsidR="00935A8A" w:rsidRPr="00A12D16">
        <w:rPr>
          <w:rFonts w:ascii="Arial" w:hAnsi="Arial" w:cs="Arial"/>
          <w:b/>
          <w:sz w:val="22"/>
          <w:szCs w:val="22"/>
          <w:lang w:val="en-US"/>
        </w:rPr>
        <w:t>7</w:t>
      </w:r>
      <w:r w:rsidR="00935A8A" w:rsidRPr="00A12D16">
        <w:rPr>
          <w:rFonts w:ascii="Arial" w:hAnsi="Arial" w:cs="Arial"/>
          <w:sz w:val="22"/>
          <w:szCs w:val="22"/>
          <w:lang w:val="en-US"/>
        </w:rPr>
        <w:t xml:space="preserve"> percent in dollar terms. The share of TL savings deposits in total deposits fell by 6 point to </w:t>
      </w:r>
      <w:r w:rsidR="00935A8A" w:rsidRPr="00A12D16">
        <w:rPr>
          <w:rFonts w:ascii="Arial" w:hAnsi="Arial" w:cs="Arial"/>
          <w:b/>
          <w:sz w:val="22"/>
          <w:szCs w:val="22"/>
          <w:lang w:val="en-US"/>
        </w:rPr>
        <w:t>53</w:t>
      </w:r>
      <w:r w:rsidR="00935A8A" w:rsidRPr="00A12D16">
        <w:rPr>
          <w:rFonts w:ascii="Arial" w:hAnsi="Arial" w:cs="Arial"/>
          <w:sz w:val="22"/>
          <w:szCs w:val="22"/>
          <w:lang w:val="en-US"/>
        </w:rPr>
        <w:t xml:space="preserve"> percent compared to the same month of the previous year.</w:t>
      </w:r>
    </w:p>
    <w:p w:rsidR="00D62A7F" w:rsidRPr="00A12D16" w:rsidRDefault="00D62A7F" w:rsidP="00C5615B">
      <w:pPr>
        <w:pStyle w:val="ListParagraph"/>
        <w:ind w:left="426"/>
        <w:rPr>
          <w:rFonts w:ascii="Arial" w:hAnsi="Arial" w:cs="Arial"/>
          <w:sz w:val="10"/>
          <w:szCs w:val="10"/>
        </w:rPr>
      </w:pPr>
    </w:p>
    <w:p w:rsidR="00935A8A" w:rsidRPr="00A12D16" w:rsidRDefault="00935A8A" w:rsidP="00935A8A">
      <w:pPr>
        <w:pStyle w:val="ListParagraph"/>
        <w:numPr>
          <w:ilvl w:val="0"/>
          <w:numId w:val="23"/>
        </w:numPr>
        <w:spacing w:before="120" w:after="120"/>
        <w:ind w:left="426"/>
        <w:jc w:val="both"/>
        <w:rPr>
          <w:rFonts w:ascii="Arial" w:hAnsi="Arial" w:cs="Arial"/>
          <w:sz w:val="22"/>
          <w:szCs w:val="22"/>
          <w:lang w:val="en-US"/>
        </w:rPr>
      </w:pPr>
      <w:r w:rsidRPr="00A12D16">
        <w:rPr>
          <w:rFonts w:ascii="Arial" w:hAnsi="Arial" w:cs="Arial"/>
          <w:sz w:val="22"/>
          <w:szCs w:val="22"/>
          <w:lang w:val="en-US"/>
        </w:rPr>
        <w:t xml:space="preserve">Non-deposit funds increased by </w:t>
      </w:r>
      <w:r w:rsidRPr="00A12D16">
        <w:rPr>
          <w:rFonts w:ascii="Arial" w:hAnsi="Arial" w:cs="Arial"/>
          <w:b/>
          <w:sz w:val="22"/>
          <w:szCs w:val="22"/>
          <w:lang w:val="en-US"/>
        </w:rPr>
        <w:t>29</w:t>
      </w:r>
      <w:r w:rsidRPr="00A12D16">
        <w:rPr>
          <w:rFonts w:ascii="Arial" w:hAnsi="Arial" w:cs="Arial"/>
          <w:sz w:val="22"/>
          <w:szCs w:val="22"/>
          <w:lang w:val="en-US"/>
        </w:rPr>
        <w:t xml:space="preserve"> percent annually. The share of non-deposit funds in total liabilities increased by 1 point to </w:t>
      </w:r>
      <w:r w:rsidRPr="00A12D16">
        <w:rPr>
          <w:rFonts w:ascii="Arial" w:hAnsi="Arial" w:cs="Arial"/>
          <w:b/>
          <w:sz w:val="22"/>
          <w:szCs w:val="22"/>
          <w:lang w:val="en-US"/>
        </w:rPr>
        <w:t xml:space="preserve">26 </w:t>
      </w:r>
      <w:r w:rsidRPr="00A12D16">
        <w:rPr>
          <w:rFonts w:ascii="Arial" w:hAnsi="Arial" w:cs="Arial"/>
          <w:sz w:val="22"/>
          <w:szCs w:val="22"/>
          <w:lang w:val="en-US"/>
        </w:rPr>
        <w:t xml:space="preserve">percent </w:t>
      </w:r>
      <w:r w:rsidR="00BA7BF3">
        <w:rPr>
          <w:rFonts w:ascii="Arial" w:hAnsi="Arial" w:cs="Arial"/>
          <w:sz w:val="22"/>
          <w:szCs w:val="22"/>
          <w:lang w:val="en-US"/>
        </w:rPr>
        <w:t>compared to the previous year. S</w:t>
      </w:r>
      <w:r w:rsidRPr="00A12D16">
        <w:rPr>
          <w:rFonts w:ascii="Arial" w:hAnsi="Arial" w:cs="Arial"/>
          <w:sz w:val="22"/>
          <w:szCs w:val="22"/>
          <w:lang w:val="en-US"/>
        </w:rPr>
        <w:t>yndication loans from foreign banks and issued securities had important role in the increase in non-deposit funds</w:t>
      </w:r>
    </w:p>
    <w:p w:rsidR="00C5615B" w:rsidRPr="00A12D16" w:rsidRDefault="00C5615B" w:rsidP="00C5615B">
      <w:pPr>
        <w:pStyle w:val="ListParagraph"/>
        <w:spacing w:before="120" w:after="120"/>
        <w:ind w:left="426"/>
        <w:jc w:val="both"/>
        <w:rPr>
          <w:rFonts w:ascii="Arial" w:hAnsi="Arial" w:cs="Arial"/>
          <w:sz w:val="10"/>
          <w:szCs w:val="10"/>
        </w:rPr>
      </w:pPr>
    </w:p>
    <w:p w:rsidR="00935A8A" w:rsidRPr="00A12D16" w:rsidRDefault="00935A8A" w:rsidP="00827823">
      <w:pPr>
        <w:pStyle w:val="ListParagraph"/>
        <w:numPr>
          <w:ilvl w:val="0"/>
          <w:numId w:val="23"/>
        </w:numPr>
        <w:spacing w:before="120" w:after="120"/>
        <w:ind w:left="426"/>
        <w:jc w:val="both"/>
        <w:rPr>
          <w:rFonts w:ascii="Arial" w:hAnsi="Arial" w:cs="Arial"/>
          <w:sz w:val="22"/>
          <w:szCs w:val="22"/>
          <w:lang w:val="en-US"/>
        </w:rPr>
      </w:pPr>
      <w:r w:rsidRPr="00A12D16">
        <w:rPr>
          <w:rFonts w:ascii="Arial" w:hAnsi="Arial" w:cs="Arial"/>
          <w:sz w:val="22"/>
          <w:szCs w:val="22"/>
          <w:lang w:val="en-US"/>
        </w:rPr>
        <w:t xml:space="preserve">The annual growth rate </w:t>
      </w:r>
      <w:r w:rsidR="00BA7BF3">
        <w:rPr>
          <w:rFonts w:ascii="Arial" w:hAnsi="Arial" w:cs="Arial"/>
          <w:sz w:val="22"/>
          <w:szCs w:val="22"/>
          <w:lang w:val="en-US"/>
        </w:rPr>
        <w:t xml:space="preserve">of </w:t>
      </w:r>
      <w:r w:rsidRPr="00A12D16">
        <w:rPr>
          <w:rFonts w:ascii="Arial" w:hAnsi="Arial" w:cs="Arial"/>
          <w:sz w:val="22"/>
          <w:szCs w:val="22"/>
          <w:lang w:val="en-US"/>
        </w:rPr>
        <w:t xml:space="preserve">shareholders' equity continued to slow down to </w:t>
      </w:r>
      <w:r w:rsidRPr="00A12D16">
        <w:rPr>
          <w:rFonts w:ascii="Arial" w:hAnsi="Arial" w:cs="Arial"/>
          <w:b/>
          <w:sz w:val="22"/>
          <w:szCs w:val="22"/>
          <w:lang w:val="en-US"/>
        </w:rPr>
        <w:t>13</w:t>
      </w:r>
      <w:r w:rsidR="00BA7BF3">
        <w:rPr>
          <w:rFonts w:ascii="Arial" w:hAnsi="Arial" w:cs="Arial"/>
          <w:sz w:val="22"/>
          <w:szCs w:val="22"/>
          <w:lang w:val="en-US"/>
        </w:rPr>
        <w:t xml:space="preserve"> per</w:t>
      </w:r>
      <w:r w:rsidRPr="00A12D16">
        <w:rPr>
          <w:rFonts w:ascii="Arial" w:hAnsi="Arial" w:cs="Arial"/>
          <w:sz w:val="22"/>
          <w:szCs w:val="22"/>
          <w:lang w:val="en-US"/>
        </w:rPr>
        <w:t>cent and remained below the growth rate of the balance sheet</w:t>
      </w:r>
      <w:r w:rsidR="00827823" w:rsidRPr="00A12D16">
        <w:rPr>
          <w:rFonts w:ascii="Arial" w:hAnsi="Arial" w:cs="Arial"/>
          <w:sz w:val="22"/>
          <w:szCs w:val="22"/>
          <w:lang w:val="en-US"/>
        </w:rPr>
        <w:t xml:space="preserve">. As of September 2015 shareholders' equity was TL </w:t>
      </w:r>
      <w:r w:rsidR="00827823" w:rsidRPr="00A12D16">
        <w:rPr>
          <w:rFonts w:ascii="Arial" w:hAnsi="Arial" w:cs="Arial"/>
          <w:b/>
          <w:sz w:val="22"/>
          <w:szCs w:val="22"/>
          <w:lang w:val="en-US"/>
        </w:rPr>
        <w:t xml:space="preserve">237 </w:t>
      </w:r>
      <w:r w:rsidR="00827823" w:rsidRPr="00A12D16">
        <w:rPr>
          <w:rFonts w:ascii="Arial" w:hAnsi="Arial" w:cs="Arial"/>
          <w:sz w:val="22"/>
          <w:szCs w:val="22"/>
          <w:lang w:val="en-US"/>
        </w:rPr>
        <w:t xml:space="preserve">billion (USD </w:t>
      </w:r>
      <w:r w:rsidR="00827823" w:rsidRPr="00A12D16">
        <w:rPr>
          <w:rFonts w:ascii="Arial" w:hAnsi="Arial" w:cs="Arial"/>
          <w:b/>
          <w:sz w:val="22"/>
          <w:szCs w:val="22"/>
          <w:lang w:val="en-US"/>
        </w:rPr>
        <w:t>78</w:t>
      </w:r>
      <w:r w:rsidR="00827823" w:rsidRPr="00A12D16">
        <w:rPr>
          <w:rFonts w:ascii="Arial" w:hAnsi="Arial" w:cs="Arial"/>
          <w:sz w:val="22"/>
          <w:szCs w:val="22"/>
          <w:lang w:val="en-US"/>
        </w:rPr>
        <w:t xml:space="preserve"> billion). Thus, the share of the shareholders' equity in total liabilities was </w:t>
      </w:r>
      <w:r w:rsidR="00827823" w:rsidRPr="00A12D16">
        <w:rPr>
          <w:rFonts w:ascii="Arial" w:hAnsi="Arial" w:cs="Arial"/>
          <w:b/>
          <w:sz w:val="22"/>
          <w:szCs w:val="22"/>
          <w:lang w:val="en-US"/>
        </w:rPr>
        <w:t xml:space="preserve">10.4 </w:t>
      </w:r>
      <w:r w:rsidR="00827823" w:rsidRPr="00A12D16">
        <w:rPr>
          <w:rFonts w:ascii="Arial" w:hAnsi="Arial" w:cs="Arial"/>
          <w:sz w:val="22"/>
          <w:szCs w:val="22"/>
          <w:lang w:val="en-US"/>
        </w:rPr>
        <w:t>percent</w:t>
      </w:r>
    </w:p>
    <w:p w:rsidR="00C5615B" w:rsidRPr="00A12D16" w:rsidRDefault="00C5615B" w:rsidP="00C5615B">
      <w:pPr>
        <w:pStyle w:val="ListParagraph"/>
        <w:ind w:left="426"/>
        <w:rPr>
          <w:rFonts w:ascii="Arial" w:hAnsi="Arial" w:cs="Arial"/>
          <w:sz w:val="10"/>
          <w:szCs w:val="10"/>
        </w:rPr>
      </w:pPr>
    </w:p>
    <w:p w:rsidR="00827823" w:rsidRPr="00A12D16" w:rsidRDefault="00827823" w:rsidP="00827823">
      <w:pPr>
        <w:pStyle w:val="ListParagraph"/>
        <w:numPr>
          <w:ilvl w:val="0"/>
          <w:numId w:val="23"/>
        </w:numPr>
        <w:spacing w:before="120" w:after="120"/>
        <w:ind w:left="426"/>
        <w:jc w:val="both"/>
        <w:rPr>
          <w:rFonts w:ascii="Arial" w:hAnsi="Arial" w:cs="Arial"/>
          <w:sz w:val="22"/>
          <w:szCs w:val="22"/>
          <w:lang w:val="en-US"/>
        </w:rPr>
      </w:pPr>
      <w:r w:rsidRPr="00A12D16">
        <w:rPr>
          <w:rFonts w:ascii="Arial" w:hAnsi="Arial" w:cs="Arial"/>
          <w:sz w:val="22"/>
          <w:szCs w:val="22"/>
          <w:lang w:val="en-US"/>
        </w:rPr>
        <w:t xml:space="preserve">In the first nine months of the year, interest income and interest expenses of the sector increased by </w:t>
      </w:r>
      <w:r w:rsidRPr="00A12D16">
        <w:rPr>
          <w:rFonts w:ascii="Arial" w:hAnsi="Arial" w:cs="Arial"/>
          <w:b/>
          <w:sz w:val="22"/>
          <w:szCs w:val="22"/>
          <w:lang w:val="en-US"/>
        </w:rPr>
        <w:t>17</w:t>
      </w:r>
      <w:r w:rsidRPr="00A12D16">
        <w:rPr>
          <w:rFonts w:ascii="Arial" w:hAnsi="Arial" w:cs="Arial"/>
          <w:sz w:val="22"/>
          <w:szCs w:val="22"/>
          <w:lang w:val="en-US"/>
        </w:rPr>
        <w:t xml:space="preserve"> and </w:t>
      </w:r>
      <w:r w:rsidRPr="00A12D16">
        <w:rPr>
          <w:rFonts w:ascii="Arial" w:hAnsi="Arial" w:cs="Arial"/>
          <w:b/>
          <w:sz w:val="22"/>
          <w:szCs w:val="22"/>
          <w:lang w:val="en-US"/>
        </w:rPr>
        <w:t>16</w:t>
      </w:r>
      <w:r w:rsidRPr="00A12D16">
        <w:rPr>
          <w:rFonts w:ascii="Arial" w:hAnsi="Arial" w:cs="Arial"/>
          <w:sz w:val="22"/>
          <w:szCs w:val="22"/>
          <w:lang w:val="en-US"/>
        </w:rPr>
        <w:t xml:space="preserve"> percent. Thus, net interest income increased by </w:t>
      </w:r>
      <w:r w:rsidRPr="00A12D16">
        <w:rPr>
          <w:rFonts w:ascii="Arial" w:hAnsi="Arial" w:cs="Arial"/>
          <w:b/>
          <w:sz w:val="22"/>
          <w:szCs w:val="22"/>
          <w:lang w:val="en-US"/>
        </w:rPr>
        <w:t>18</w:t>
      </w:r>
      <w:r w:rsidRPr="00A12D16">
        <w:rPr>
          <w:rFonts w:ascii="Arial" w:hAnsi="Arial" w:cs="Arial"/>
          <w:sz w:val="22"/>
          <w:szCs w:val="22"/>
          <w:lang w:val="en-US"/>
        </w:rPr>
        <w:t xml:space="preserve"> percent compared to the same period of 2014 in TL terms, whereas it decreased by </w:t>
      </w:r>
      <w:r w:rsidRPr="00A12D16">
        <w:rPr>
          <w:rFonts w:ascii="Arial" w:hAnsi="Arial" w:cs="Arial"/>
          <w:b/>
          <w:sz w:val="22"/>
          <w:szCs w:val="22"/>
          <w:lang w:val="en-US"/>
        </w:rPr>
        <w:t xml:space="preserve">11 </w:t>
      </w:r>
      <w:r w:rsidRPr="00A12D16">
        <w:rPr>
          <w:rFonts w:ascii="Arial" w:hAnsi="Arial" w:cs="Arial"/>
          <w:sz w:val="22"/>
          <w:szCs w:val="22"/>
          <w:lang w:val="en-US"/>
        </w:rPr>
        <w:t>percent in USD terms. Foreign currency losses led to a decrease in profitability</w:t>
      </w:r>
    </w:p>
    <w:p w:rsidR="00C5615B" w:rsidRPr="00A12D16" w:rsidRDefault="00C5615B" w:rsidP="00C5615B">
      <w:pPr>
        <w:pStyle w:val="ListParagraph"/>
        <w:spacing w:before="120" w:after="120"/>
        <w:ind w:left="426"/>
        <w:jc w:val="both"/>
        <w:rPr>
          <w:rFonts w:ascii="Arial" w:hAnsi="Arial" w:cs="Arial"/>
          <w:sz w:val="10"/>
          <w:szCs w:val="10"/>
        </w:rPr>
      </w:pPr>
    </w:p>
    <w:p w:rsidR="00081186" w:rsidRPr="00A12D16" w:rsidRDefault="00081186" w:rsidP="00C5615B">
      <w:pPr>
        <w:pStyle w:val="ListParagraph"/>
        <w:spacing w:before="120" w:after="120"/>
        <w:ind w:left="426"/>
        <w:jc w:val="both"/>
        <w:rPr>
          <w:rFonts w:ascii="Arial" w:hAnsi="Arial" w:cs="Arial"/>
          <w:sz w:val="10"/>
          <w:szCs w:val="10"/>
        </w:rPr>
      </w:pPr>
    </w:p>
    <w:p w:rsidR="00081186" w:rsidRPr="00A12D16" w:rsidRDefault="00081186" w:rsidP="004724A9">
      <w:pPr>
        <w:pStyle w:val="ListParagraph"/>
        <w:numPr>
          <w:ilvl w:val="0"/>
          <w:numId w:val="23"/>
        </w:numPr>
        <w:spacing w:before="120" w:after="120"/>
        <w:ind w:left="426"/>
        <w:jc w:val="both"/>
        <w:rPr>
          <w:rFonts w:ascii="Arial" w:hAnsi="Arial" w:cs="Arial"/>
          <w:sz w:val="22"/>
          <w:szCs w:val="22"/>
          <w:lang w:val="en-US"/>
        </w:rPr>
      </w:pPr>
      <w:r w:rsidRPr="00A12D16">
        <w:rPr>
          <w:rFonts w:ascii="Arial" w:hAnsi="Arial" w:cs="Arial"/>
          <w:sz w:val="22"/>
          <w:szCs w:val="22"/>
          <w:lang w:val="en-US"/>
        </w:rPr>
        <w:t xml:space="preserve">By September 2015 the total profit volume of the sector remained same compared to the same period of the last year and realized as TL </w:t>
      </w:r>
      <w:r w:rsidRPr="00A12D16">
        <w:rPr>
          <w:rFonts w:ascii="Arial" w:hAnsi="Arial" w:cs="Arial"/>
          <w:b/>
          <w:sz w:val="22"/>
          <w:szCs w:val="22"/>
          <w:lang w:val="en-US"/>
        </w:rPr>
        <w:t>18.2</w:t>
      </w:r>
      <w:r w:rsidRPr="00A12D16">
        <w:rPr>
          <w:rFonts w:ascii="Arial" w:hAnsi="Arial" w:cs="Arial"/>
          <w:sz w:val="22"/>
          <w:szCs w:val="22"/>
          <w:lang w:val="en-US"/>
        </w:rPr>
        <w:t xml:space="preserve"> billion.</w:t>
      </w:r>
      <w:r w:rsidR="004724A9" w:rsidRPr="00A12D16">
        <w:rPr>
          <w:rFonts w:ascii="Arial" w:hAnsi="Arial" w:cs="Arial"/>
          <w:sz w:val="22"/>
          <w:szCs w:val="22"/>
          <w:lang w:val="en-US"/>
        </w:rPr>
        <w:t xml:space="preserve"> Thus, the average return on equity was 11 percent, and the average return on assets was </w:t>
      </w:r>
      <w:r w:rsidR="004724A9" w:rsidRPr="00A12D16">
        <w:rPr>
          <w:rFonts w:ascii="Arial" w:hAnsi="Arial" w:cs="Arial"/>
          <w:b/>
          <w:sz w:val="22"/>
          <w:szCs w:val="22"/>
          <w:lang w:val="en-US"/>
        </w:rPr>
        <w:t>1.2</w:t>
      </w:r>
      <w:r w:rsidR="004724A9" w:rsidRPr="00A12D16">
        <w:rPr>
          <w:rFonts w:ascii="Arial" w:hAnsi="Arial" w:cs="Arial"/>
          <w:sz w:val="22"/>
          <w:szCs w:val="22"/>
          <w:lang w:val="en-US"/>
        </w:rPr>
        <w:t xml:space="preserve"> percent.</w:t>
      </w:r>
    </w:p>
    <w:p w:rsidR="00C5615B" w:rsidRPr="00A12D16" w:rsidRDefault="00C5615B" w:rsidP="00C5615B">
      <w:pPr>
        <w:pStyle w:val="ListParagraph"/>
        <w:ind w:left="426"/>
        <w:rPr>
          <w:rFonts w:ascii="Arial" w:hAnsi="Arial" w:cs="Arial"/>
          <w:sz w:val="10"/>
          <w:szCs w:val="10"/>
        </w:rPr>
      </w:pPr>
    </w:p>
    <w:p w:rsidR="00614E5B" w:rsidRPr="00A12D16" w:rsidRDefault="004724A9" w:rsidP="00614E5B">
      <w:pPr>
        <w:pStyle w:val="ListParagraph"/>
        <w:numPr>
          <w:ilvl w:val="0"/>
          <w:numId w:val="23"/>
        </w:numPr>
        <w:spacing w:before="120" w:after="120"/>
        <w:ind w:left="426"/>
        <w:jc w:val="both"/>
        <w:rPr>
          <w:rFonts w:ascii="Arial" w:hAnsi="Arial" w:cs="Arial"/>
          <w:sz w:val="22"/>
          <w:szCs w:val="22"/>
          <w:lang w:val="en-US"/>
        </w:rPr>
      </w:pPr>
      <w:r w:rsidRPr="00A12D16">
        <w:rPr>
          <w:rFonts w:ascii="Arial" w:hAnsi="Arial" w:cs="Arial"/>
          <w:sz w:val="22"/>
          <w:szCs w:val="22"/>
          <w:lang w:val="en-US"/>
        </w:rPr>
        <w:t xml:space="preserve">Net FX short position of the banking sector realized as USD </w:t>
      </w:r>
      <w:r w:rsidRPr="00A12D16">
        <w:rPr>
          <w:rFonts w:ascii="Arial" w:hAnsi="Arial" w:cs="Arial"/>
          <w:b/>
          <w:sz w:val="22"/>
          <w:szCs w:val="22"/>
          <w:lang w:val="en-US"/>
        </w:rPr>
        <w:t>13.6</w:t>
      </w:r>
      <w:r w:rsidRPr="00A12D16">
        <w:rPr>
          <w:rFonts w:ascii="Arial" w:hAnsi="Arial" w:cs="Arial"/>
          <w:sz w:val="22"/>
          <w:szCs w:val="22"/>
          <w:lang w:val="en-US"/>
        </w:rPr>
        <w:t xml:space="preserve"> billion. The ratio of net FX position to shareholders equity is </w:t>
      </w:r>
      <w:r w:rsidRPr="00A12D16">
        <w:rPr>
          <w:rFonts w:ascii="Arial" w:hAnsi="Arial" w:cs="Arial"/>
          <w:b/>
          <w:sz w:val="22"/>
          <w:szCs w:val="22"/>
          <w:lang w:val="en-US"/>
        </w:rPr>
        <w:t xml:space="preserve">1.5 </w:t>
      </w:r>
      <w:r w:rsidRPr="00A12D16">
        <w:rPr>
          <w:rFonts w:ascii="Arial" w:hAnsi="Arial" w:cs="Arial"/>
          <w:sz w:val="22"/>
          <w:szCs w:val="22"/>
          <w:lang w:val="en-US"/>
        </w:rPr>
        <w:t>percent.</w:t>
      </w:r>
    </w:p>
    <w:p w:rsidR="00614E5B" w:rsidRPr="00A12D16" w:rsidRDefault="00614E5B" w:rsidP="00614E5B">
      <w:pPr>
        <w:pStyle w:val="ListParagraph"/>
        <w:rPr>
          <w:rFonts w:ascii="Arial" w:hAnsi="Arial" w:cs="Arial"/>
          <w:sz w:val="22"/>
          <w:szCs w:val="22"/>
          <w:lang w:val="en-US"/>
        </w:rPr>
      </w:pPr>
    </w:p>
    <w:p w:rsidR="00614E5B" w:rsidRPr="00A12D16" w:rsidRDefault="00614E5B" w:rsidP="00614E5B">
      <w:pPr>
        <w:pStyle w:val="ListParagraph"/>
        <w:numPr>
          <w:ilvl w:val="0"/>
          <w:numId w:val="23"/>
        </w:numPr>
        <w:spacing w:before="120" w:after="120"/>
        <w:ind w:left="426"/>
        <w:jc w:val="both"/>
        <w:rPr>
          <w:rFonts w:ascii="Arial" w:hAnsi="Arial" w:cs="Arial"/>
          <w:sz w:val="22"/>
          <w:szCs w:val="22"/>
          <w:lang w:val="en-US"/>
        </w:rPr>
      </w:pPr>
      <w:r w:rsidRPr="00A12D16">
        <w:rPr>
          <w:rFonts w:ascii="Arial" w:hAnsi="Arial" w:cs="Arial"/>
          <w:sz w:val="22"/>
          <w:szCs w:val="22"/>
          <w:lang w:val="en-US"/>
        </w:rPr>
        <w:t xml:space="preserve">Considering maturity, </w:t>
      </w:r>
      <w:r w:rsidRPr="00A12D16">
        <w:rPr>
          <w:rFonts w:ascii="Arial" w:hAnsi="Arial" w:cs="Arial"/>
          <w:b/>
          <w:sz w:val="22"/>
          <w:szCs w:val="22"/>
          <w:lang w:val="en-US"/>
        </w:rPr>
        <w:t>51</w:t>
      </w:r>
      <w:r w:rsidRPr="00A12D16">
        <w:rPr>
          <w:rFonts w:ascii="Arial" w:hAnsi="Arial" w:cs="Arial"/>
          <w:sz w:val="22"/>
          <w:szCs w:val="22"/>
          <w:lang w:val="en-US"/>
        </w:rPr>
        <w:t xml:space="preserve"> percent of total assets and </w:t>
      </w:r>
      <w:r w:rsidRPr="00A12D16">
        <w:rPr>
          <w:rFonts w:ascii="Arial" w:hAnsi="Arial" w:cs="Arial"/>
          <w:b/>
          <w:sz w:val="22"/>
          <w:szCs w:val="22"/>
          <w:lang w:val="en-US"/>
        </w:rPr>
        <w:t>77</w:t>
      </w:r>
      <w:r w:rsidRPr="00A12D16">
        <w:rPr>
          <w:rFonts w:ascii="Arial" w:hAnsi="Arial" w:cs="Arial"/>
          <w:sz w:val="22"/>
          <w:szCs w:val="22"/>
          <w:lang w:val="en-US"/>
        </w:rPr>
        <w:t xml:space="preserve"> percent of total liabilities had </w:t>
      </w:r>
      <w:r w:rsidR="00BA7BF3">
        <w:rPr>
          <w:rFonts w:ascii="Arial" w:hAnsi="Arial" w:cs="Arial"/>
          <w:sz w:val="22"/>
          <w:szCs w:val="22"/>
          <w:lang w:val="en-US"/>
        </w:rPr>
        <w:t>a maturity of less than 1 year.</w:t>
      </w:r>
      <w:r w:rsidRPr="00A12D16">
        <w:rPr>
          <w:rFonts w:ascii="Arial" w:hAnsi="Arial" w:cs="Arial"/>
          <w:sz w:val="22"/>
          <w:szCs w:val="22"/>
          <w:lang w:val="en-US"/>
        </w:rPr>
        <w:t xml:space="preserve"> The assets and liabilities with a more than 5 year maturity have a </w:t>
      </w:r>
      <w:r w:rsidRPr="00A12D16">
        <w:rPr>
          <w:rFonts w:ascii="Arial" w:hAnsi="Arial" w:cs="Arial"/>
          <w:b/>
          <w:sz w:val="22"/>
          <w:szCs w:val="22"/>
          <w:lang w:val="en-US"/>
        </w:rPr>
        <w:t>16</w:t>
      </w:r>
      <w:r w:rsidRPr="00A12D16">
        <w:rPr>
          <w:rFonts w:ascii="Arial" w:hAnsi="Arial" w:cs="Arial"/>
          <w:sz w:val="22"/>
          <w:szCs w:val="22"/>
          <w:lang w:val="en-US"/>
        </w:rPr>
        <w:t xml:space="preserve"> percent and </w:t>
      </w:r>
      <w:r w:rsidRPr="00A12D16">
        <w:rPr>
          <w:rFonts w:ascii="Arial" w:hAnsi="Arial" w:cs="Arial"/>
          <w:b/>
          <w:sz w:val="22"/>
          <w:szCs w:val="22"/>
          <w:lang w:val="en-US"/>
        </w:rPr>
        <w:t>4</w:t>
      </w:r>
      <w:r w:rsidRPr="00A12D16">
        <w:rPr>
          <w:rFonts w:ascii="Arial" w:hAnsi="Arial" w:cs="Arial"/>
          <w:sz w:val="22"/>
          <w:szCs w:val="22"/>
          <w:lang w:val="en-US"/>
        </w:rPr>
        <w:t xml:space="preserve"> percent shares in total assets and in total liabilities, respectively. </w:t>
      </w:r>
    </w:p>
    <w:p w:rsidR="000E2381" w:rsidRPr="00A12D16" w:rsidRDefault="00D25884" w:rsidP="00C06DDF">
      <w:pPr>
        <w:spacing w:before="120" w:after="120"/>
        <w:jc w:val="both"/>
        <w:rPr>
          <w:rFonts w:ascii="Arial" w:hAnsi="Arial" w:cs="Arial"/>
          <w:b/>
          <w:sz w:val="22"/>
          <w:szCs w:val="22"/>
        </w:rPr>
      </w:pPr>
      <w:r w:rsidRPr="00A12D16">
        <w:rPr>
          <w:rFonts w:ascii="Arial" w:hAnsi="Arial" w:cs="Arial"/>
          <w:b/>
          <w:sz w:val="22"/>
          <w:szCs w:val="22"/>
        </w:rPr>
        <w:t>3</w:t>
      </w:r>
      <w:r w:rsidR="000E2381" w:rsidRPr="00A12D16">
        <w:rPr>
          <w:rFonts w:ascii="Arial" w:hAnsi="Arial" w:cs="Arial"/>
          <w:b/>
          <w:sz w:val="22"/>
          <w:szCs w:val="22"/>
        </w:rPr>
        <w:t xml:space="preserve">. </w:t>
      </w:r>
      <w:r w:rsidR="00614E5B" w:rsidRPr="00A12D16">
        <w:rPr>
          <w:rFonts w:ascii="Arial" w:hAnsi="Arial" w:cs="Arial"/>
          <w:b/>
          <w:sz w:val="22"/>
          <w:szCs w:val="22"/>
          <w:lang w:val="en-US"/>
        </w:rPr>
        <w:t>Selected Issues</w:t>
      </w:r>
    </w:p>
    <w:p w:rsidR="00614E5B" w:rsidRPr="00A12D16" w:rsidRDefault="00614E5B" w:rsidP="00C5615B">
      <w:pPr>
        <w:pStyle w:val="ListParagraph"/>
        <w:spacing w:before="120" w:after="120"/>
        <w:ind w:left="426"/>
        <w:jc w:val="both"/>
        <w:rPr>
          <w:rFonts w:ascii="Arial" w:hAnsi="Arial" w:cs="Arial"/>
          <w:sz w:val="10"/>
          <w:szCs w:val="10"/>
        </w:rPr>
      </w:pPr>
    </w:p>
    <w:p w:rsidR="00614E5B" w:rsidRDefault="00614E5B" w:rsidP="00614E5B">
      <w:pPr>
        <w:pStyle w:val="ListParagraph"/>
        <w:numPr>
          <w:ilvl w:val="0"/>
          <w:numId w:val="23"/>
        </w:numPr>
        <w:spacing w:before="120" w:after="120"/>
        <w:ind w:left="426"/>
        <w:jc w:val="both"/>
        <w:rPr>
          <w:rFonts w:ascii="Arial" w:hAnsi="Arial" w:cs="Arial"/>
          <w:sz w:val="22"/>
          <w:szCs w:val="22"/>
          <w:lang w:val="en-US"/>
        </w:rPr>
      </w:pPr>
      <w:r w:rsidRPr="00A12D16">
        <w:rPr>
          <w:rFonts w:ascii="Arial" w:hAnsi="Arial" w:cs="Arial"/>
          <w:sz w:val="22"/>
          <w:szCs w:val="22"/>
          <w:lang w:val="en-US"/>
        </w:rPr>
        <w:t xml:space="preserve">As of September 2015, 47 banks were operating in Turkey. The number of branches increased by 91 and to </w:t>
      </w:r>
      <w:r w:rsidRPr="00A12D16">
        <w:rPr>
          <w:rFonts w:ascii="Arial" w:hAnsi="Arial" w:cs="Arial"/>
          <w:b/>
          <w:sz w:val="22"/>
          <w:szCs w:val="22"/>
          <w:lang w:val="en-US"/>
        </w:rPr>
        <w:t>11,280</w:t>
      </w:r>
      <w:r w:rsidRPr="00A12D16">
        <w:rPr>
          <w:rFonts w:ascii="Arial" w:hAnsi="Arial" w:cs="Arial"/>
          <w:sz w:val="22"/>
          <w:szCs w:val="22"/>
          <w:lang w:val="en-US"/>
        </w:rPr>
        <w:t xml:space="preserve"> and the number of employees increased by 2,506 to </w:t>
      </w:r>
      <w:r w:rsidRPr="00A12D16">
        <w:rPr>
          <w:rFonts w:ascii="Arial" w:hAnsi="Arial" w:cs="Arial"/>
          <w:b/>
          <w:sz w:val="22"/>
          <w:szCs w:val="22"/>
          <w:lang w:val="en-US"/>
        </w:rPr>
        <w:t>201.605</w:t>
      </w:r>
      <w:r w:rsidRPr="00A12D16">
        <w:rPr>
          <w:rFonts w:ascii="Arial" w:hAnsi="Arial" w:cs="Arial"/>
          <w:sz w:val="22"/>
          <w:szCs w:val="22"/>
          <w:lang w:val="en-US"/>
        </w:rPr>
        <w:t xml:space="preserve"> respectively in the same period.</w:t>
      </w:r>
    </w:p>
    <w:p w:rsidR="00A12D16" w:rsidRPr="00A12D16" w:rsidRDefault="00A12D16" w:rsidP="00A12D16">
      <w:pPr>
        <w:pStyle w:val="ListParagraph"/>
        <w:spacing w:before="120" w:after="120"/>
        <w:ind w:left="426"/>
        <w:jc w:val="both"/>
        <w:rPr>
          <w:rFonts w:ascii="Arial" w:hAnsi="Arial" w:cs="Arial"/>
          <w:sz w:val="22"/>
          <w:szCs w:val="22"/>
          <w:lang w:val="en-US"/>
        </w:rPr>
      </w:pPr>
    </w:p>
    <w:p w:rsidR="00C26146" w:rsidRPr="00A12D16" w:rsidRDefault="00614E5B" w:rsidP="00614E5B">
      <w:pPr>
        <w:pStyle w:val="ListParagraph"/>
        <w:numPr>
          <w:ilvl w:val="0"/>
          <w:numId w:val="23"/>
        </w:numPr>
        <w:spacing w:before="120" w:after="120"/>
        <w:ind w:left="426"/>
        <w:jc w:val="both"/>
        <w:rPr>
          <w:rFonts w:ascii="Arial" w:hAnsi="Arial" w:cs="Arial"/>
          <w:sz w:val="22"/>
          <w:szCs w:val="22"/>
          <w:lang w:val="en-US"/>
        </w:rPr>
      </w:pPr>
      <w:r w:rsidRPr="00A12D16">
        <w:rPr>
          <w:rFonts w:ascii="Arial" w:hAnsi="Arial" w:cs="Arial"/>
          <w:sz w:val="22"/>
          <w:szCs w:val="22"/>
          <w:lang w:val="en-US"/>
        </w:rPr>
        <w:t xml:space="preserve">Also there are 5 participation banks in Turkey. The detailed information about participation banks is available http://www.tkbb.org.tr/homepage on The Participation Banks Association of Turkey.  </w:t>
      </w:r>
    </w:p>
    <w:sectPr w:rsidR="00C26146" w:rsidRPr="00A12D16" w:rsidSect="00C5615B">
      <w:headerReference w:type="default" r:id="rId12"/>
      <w:footerReference w:type="even" r:id="rId13"/>
      <w:footerReference w:type="default" r:id="rId14"/>
      <w:headerReference w:type="first" r:id="rId15"/>
      <w:pgSz w:w="11909" w:h="16834" w:code="9"/>
      <w:pgMar w:top="2381" w:right="1277" w:bottom="1276" w:left="1814" w:header="1151" w:footer="43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8B1" w:rsidRDefault="009B68B1">
      <w:r>
        <w:separator/>
      </w:r>
    </w:p>
  </w:endnote>
  <w:endnote w:type="continuationSeparator" w:id="0">
    <w:p w:rsidR="009B68B1" w:rsidRDefault="009B68B1">
      <w:r>
        <w:continuationSeparator/>
      </w:r>
    </w:p>
  </w:endnote>
  <w:endnote w:type="continuationNotice" w:id="1">
    <w:p w:rsidR="009B68B1" w:rsidRDefault="009B6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rsidP="00AC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25A2" w:rsidRDefault="00EC25A2" w:rsidP="00150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Pr="00150A4B" w:rsidRDefault="00EC25A2" w:rsidP="00AC3738">
    <w:pPr>
      <w:pStyle w:val="Footer"/>
      <w:framePr w:wrap="around" w:vAnchor="text" w:hAnchor="margin" w:xAlign="right" w:y="1"/>
      <w:rPr>
        <w:rStyle w:val="PageNumber"/>
        <w:rFonts w:ascii="Arial" w:hAnsi="Arial" w:cs="Arial"/>
        <w:sz w:val="18"/>
        <w:szCs w:val="18"/>
      </w:rPr>
    </w:pPr>
    <w:r w:rsidRPr="00150A4B">
      <w:rPr>
        <w:rStyle w:val="PageNumber"/>
        <w:rFonts w:ascii="Arial" w:hAnsi="Arial" w:cs="Arial"/>
        <w:sz w:val="18"/>
        <w:szCs w:val="18"/>
      </w:rPr>
      <w:fldChar w:fldCharType="begin"/>
    </w:r>
    <w:r w:rsidRPr="00150A4B">
      <w:rPr>
        <w:rStyle w:val="PageNumber"/>
        <w:rFonts w:ascii="Arial" w:hAnsi="Arial" w:cs="Arial"/>
        <w:sz w:val="18"/>
        <w:szCs w:val="18"/>
      </w:rPr>
      <w:instrText xml:space="preserve">PAGE  </w:instrText>
    </w:r>
    <w:r w:rsidRPr="00150A4B">
      <w:rPr>
        <w:rStyle w:val="PageNumber"/>
        <w:rFonts w:ascii="Arial" w:hAnsi="Arial" w:cs="Arial"/>
        <w:sz w:val="18"/>
        <w:szCs w:val="18"/>
      </w:rPr>
      <w:fldChar w:fldCharType="separate"/>
    </w:r>
    <w:r w:rsidR="00F96789">
      <w:rPr>
        <w:rStyle w:val="PageNumber"/>
        <w:rFonts w:ascii="Arial" w:hAnsi="Arial" w:cs="Arial"/>
        <w:noProof/>
        <w:sz w:val="18"/>
        <w:szCs w:val="18"/>
      </w:rPr>
      <w:t>1</w:t>
    </w:r>
    <w:r w:rsidRPr="00150A4B">
      <w:rPr>
        <w:rStyle w:val="PageNumber"/>
        <w:rFonts w:ascii="Arial" w:hAnsi="Arial" w:cs="Arial"/>
        <w:sz w:val="18"/>
        <w:szCs w:val="18"/>
      </w:rPr>
      <w:fldChar w:fldCharType="end"/>
    </w:r>
  </w:p>
  <w:p w:rsidR="00EC25A2" w:rsidRPr="005A781C" w:rsidRDefault="005A781C" w:rsidP="005A781C">
    <w:pPr>
      <w:pStyle w:val="Footer"/>
      <w:rPr>
        <w:rFonts w:ascii="Arial" w:hAnsi="Arial" w:cs="Arial"/>
        <w:sz w:val="18"/>
        <w:szCs w:val="18"/>
        <w:lang w:val="en-US"/>
      </w:rPr>
    </w:pPr>
    <w:r w:rsidRPr="00946A44">
      <w:rPr>
        <w:rFonts w:ascii="Arial" w:hAnsi="Arial" w:cs="Arial"/>
        <w:sz w:val="18"/>
        <w:szCs w:val="18"/>
        <w:lang w:val="en-US"/>
      </w:rPr>
      <w:t>The Banks Association of Turkey</w:t>
    </w:r>
    <w:r>
      <w:rPr>
        <w:rFonts w:ascii="Arial" w:hAnsi="Arial" w:cs="Arial"/>
        <w:sz w:val="18"/>
        <w:szCs w:val="18"/>
        <w:lang w:val="en-US"/>
      </w:rPr>
      <w:t>/Statistical Reports/</w:t>
    </w:r>
    <w:r w:rsidR="001B7576">
      <w:rPr>
        <w:rFonts w:ascii="Arial" w:hAnsi="Arial" w:cs="Arial"/>
        <w:sz w:val="18"/>
        <w:szCs w:val="18"/>
        <w:lang w:val="en-US"/>
      </w:rPr>
      <w:t>September</w:t>
    </w:r>
    <w:r>
      <w:rPr>
        <w:rFonts w:ascii="Arial" w:hAnsi="Arial" w:cs="Arial"/>
        <w:sz w:val="18"/>
        <w:szCs w:val="18"/>
        <w:lang w:val="en-US"/>
      </w:rPr>
      <w:t xml:space="preserve"> 2015</w:t>
    </w:r>
    <w:r w:rsidRPr="00946A44">
      <w:rPr>
        <w:rFonts w:ascii="Arial" w:hAnsi="Arial" w:cs="Arial"/>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8B1" w:rsidRDefault="009B68B1">
      <w:r>
        <w:separator/>
      </w:r>
    </w:p>
  </w:footnote>
  <w:footnote w:type="continuationSeparator" w:id="0">
    <w:p w:rsidR="009B68B1" w:rsidRDefault="009B68B1">
      <w:r>
        <w:continuationSeparator/>
      </w:r>
    </w:p>
  </w:footnote>
  <w:footnote w:type="continuationNotice" w:id="1">
    <w:p w:rsidR="009B68B1" w:rsidRDefault="009B68B1"/>
  </w:footnote>
  <w:footnote w:id="2">
    <w:p w:rsidR="00EC25A2" w:rsidRPr="005A781C" w:rsidRDefault="00EC25A2" w:rsidP="00F56C32">
      <w:pPr>
        <w:pStyle w:val="FootnoteText"/>
        <w:jc w:val="both"/>
        <w:rPr>
          <w:rFonts w:ascii="Arial" w:hAnsi="Arial" w:cs="Arial"/>
          <w:sz w:val="18"/>
          <w:szCs w:val="18"/>
          <w:lang w:val="en-US"/>
        </w:rPr>
      </w:pPr>
      <w:r w:rsidRPr="0043078B">
        <w:rPr>
          <w:rStyle w:val="FootnoteReference"/>
          <w:rFonts w:ascii="Arial" w:hAnsi="Arial" w:cs="Arial"/>
          <w:sz w:val="18"/>
          <w:szCs w:val="18"/>
        </w:rPr>
        <w:footnoteRef/>
      </w:r>
      <w:r w:rsidR="005A781C" w:rsidRPr="00946A44">
        <w:rPr>
          <w:rFonts w:ascii="Arial" w:hAnsi="Arial" w:cs="Arial"/>
          <w:sz w:val="18"/>
          <w:szCs w:val="18"/>
          <w:lang w:val="en-US"/>
        </w:rPr>
        <w:t>Deposit banks and development and investment banks are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pPr>
      <w:pStyle w:val="Header"/>
    </w:pPr>
    <w:r>
      <w:rPr>
        <w:noProof/>
        <w:lang w:eastAsia="tr-TR"/>
      </w:rPr>
      <w:drawing>
        <wp:anchor distT="0" distB="0" distL="114300" distR="114300" simplePos="0" relativeHeight="251658241" behindDoc="0" locked="0" layoutInCell="1" allowOverlap="1" wp14:anchorId="69726B1F" wp14:editId="658463CB">
          <wp:simplePos x="0" y="0"/>
          <wp:positionH relativeFrom="page">
            <wp:posOffset>6364605</wp:posOffset>
          </wp:positionH>
          <wp:positionV relativeFrom="page">
            <wp:posOffset>302260</wp:posOffset>
          </wp:positionV>
          <wp:extent cx="913130" cy="929005"/>
          <wp:effectExtent l="0" t="0" r="1270" b="4445"/>
          <wp:wrapSquare wrapText="bothSides"/>
          <wp:docPr id="2"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pPr>
      <w:pStyle w:val="Header"/>
    </w:pPr>
    <w:r>
      <w:rPr>
        <w:noProof/>
        <w:lang w:eastAsia="tr-TR"/>
      </w:rPr>
      <w:drawing>
        <wp:anchor distT="0" distB="0" distL="114300" distR="114300" simplePos="0" relativeHeight="251658240" behindDoc="0" locked="0" layoutInCell="1" allowOverlap="1" wp14:anchorId="22F5534A" wp14:editId="388910FB">
          <wp:simplePos x="0" y="0"/>
          <wp:positionH relativeFrom="page">
            <wp:posOffset>6299835</wp:posOffset>
          </wp:positionH>
          <wp:positionV relativeFrom="page">
            <wp:posOffset>269875</wp:posOffset>
          </wp:positionV>
          <wp:extent cx="966470" cy="1760220"/>
          <wp:effectExtent l="0" t="0" r="5080" b="0"/>
          <wp:wrapSquare wrapText="bothSides"/>
          <wp:docPr id="1" name="Picture 1" descr="logo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176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A06"/>
    <w:multiLevelType w:val="hybridMultilevel"/>
    <w:tmpl w:val="658E971C"/>
    <w:lvl w:ilvl="0" w:tplc="9C8AF5FA">
      <w:start w:val="1"/>
      <w:numFmt w:val="bullet"/>
      <w:lvlText w:val=""/>
      <w:lvlJc w:val="left"/>
      <w:pPr>
        <w:tabs>
          <w:tab w:val="num" w:pos="720"/>
        </w:tabs>
        <w:ind w:left="720" w:hanging="360"/>
      </w:pPr>
      <w:rPr>
        <w:rFonts w:ascii="Wingdings" w:hAnsi="Wingdings" w:hint="default"/>
      </w:rPr>
    </w:lvl>
    <w:lvl w:ilvl="1" w:tplc="28CA1D54" w:tentative="1">
      <w:start w:val="1"/>
      <w:numFmt w:val="bullet"/>
      <w:lvlText w:val=""/>
      <w:lvlJc w:val="left"/>
      <w:pPr>
        <w:tabs>
          <w:tab w:val="num" w:pos="1440"/>
        </w:tabs>
        <w:ind w:left="1440" w:hanging="360"/>
      </w:pPr>
      <w:rPr>
        <w:rFonts w:ascii="Wingdings" w:hAnsi="Wingdings" w:hint="default"/>
      </w:rPr>
    </w:lvl>
    <w:lvl w:ilvl="2" w:tplc="8012A72E" w:tentative="1">
      <w:start w:val="1"/>
      <w:numFmt w:val="bullet"/>
      <w:lvlText w:val=""/>
      <w:lvlJc w:val="left"/>
      <w:pPr>
        <w:tabs>
          <w:tab w:val="num" w:pos="2160"/>
        </w:tabs>
        <w:ind w:left="2160" w:hanging="360"/>
      </w:pPr>
      <w:rPr>
        <w:rFonts w:ascii="Wingdings" w:hAnsi="Wingdings" w:hint="default"/>
      </w:rPr>
    </w:lvl>
    <w:lvl w:ilvl="3" w:tplc="3A9AA08E" w:tentative="1">
      <w:start w:val="1"/>
      <w:numFmt w:val="bullet"/>
      <w:lvlText w:val=""/>
      <w:lvlJc w:val="left"/>
      <w:pPr>
        <w:tabs>
          <w:tab w:val="num" w:pos="2880"/>
        </w:tabs>
        <w:ind w:left="2880" w:hanging="360"/>
      </w:pPr>
      <w:rPr>
        <w:rFonts w:ascii="Wingdings" w:hAnsi="Wingdings" w:hint="default"/>
      </w:rPr>
    </w:lvl>
    <w:lvl w:ilvl="4" w:tplc="00DC4B18" w:tentative="1">
      <w:start w:val="1"/>
      <w:numFmt w:val="bullet"/>
      <w:lvlText w:val=""/>
      <w:lvlJc w:val="left"/>
      <w:pPr>
        <w:tabs>
          <w:tab w:val="num" w:pos="3600"/>
        </w:tabs>
        <w:ind w:left="3600" w:hanging="360"/>
      </w:pPr>
      <w:rPr>
        <w:rFonts w:ascii="Wingdings" w:hAnsi="Wingdings" w:hint="default"/>
      </w:rPr>
    </w:lvl>
    <w:lvl w:ilvl="5" w:tplc="5E52C288" w:tentative="1">
      <w:start w:val="1"/>
      <w:numFmt w:val="bullet"/>
      <w:lvlText w:val=""/>
      <w:lvlJc w:val="left"/>
      <w:pPr>
        <w:tabs>
          <w:tab w:val="num" w:pos="4320"/>
        </w:tabs>
        <w:ind w:left="4320" w:hanging="360"/>
      </w:pPr>
      <w:rPr>
        <w:rFonts w:ascii="Wingdings" w:hAnsi="Wingdings" w:hint="default"/>
      </w:rPr>
    </w:lvl>
    <w:lvl w:ilvl="6" w:tplc="5CE63E86" w:tentative="1">
      <w:start w:val="1"/>
      <w:numFmt w:val="bullet"/>
      <w:lvlText w:val=""/>
      <w:lvlJc w:val="left"/>
      <w:pPr>
        <w:tabs>
          <w:tab w:val="num" w:pos="5040"/>
        </w:tabs>
        <w:ind w:left="5040" w:hanging="360"/>
      </w:pPr>
      <w:rPr>
        <w:rFonts w:ascii="Wingdings" w:hAnsi="Wingdings" w:hint="default"/>
      </w:rPr>
    </w:lvl>
    <w:lvl w:ilvl="7" w:tplc="ECE00A6A" w:tentative="1">
      <w:start w:val="1"/>
      <w:numFmt w:val="bullet"/>
      <w:lvlText w:val=""/>
      <w:lvlJc w:val="left"/>
      <w:pPr>
        <w:tabs>
          <w:tab w:val="num" w:pos="5760"/>
        </w:tabs>
        <w:ind w:left="5760" w:hanging="360"/>
      </w:pPr>
      <w:rPr>
        <w:rFonts w:ascii="Wingdings" w:hAnsi="Wingdings" w:hint="default"/>
      </w:rPr>
    </w:lvl>
    <w:lvl w:ilvl="8" w:tplc="CF905D5A" w:tentative="1">
      <w:start w:val="1"/>
      <w:numFmt w:val="bullet"/>
      <w:lvlText w:val=""/>
      <w:lvlJc w:val="left"/>
      <w:pPr>
        <w:tabs>
          <w:tab w:val="num" w:pos="6480"/>
        </w:tabs>
        <w:ind w:left="6480" w:hanging="360"/>
      </w:pPr>
      <w:rPr>
        <w:rFonts w:ascii="Wingdings" w:hAnsi="Wingdings" w:hint="default"/>
      </w:rPr>
    </w:lvl>
  </w:abstractNum>
  <w:abstractNum w:abstractNumId="1">
    <w:nsid w:val="05247560"/>
    <w:multiLevelType w:val="singleLevel"/>
    <w:tmpl w:val="04AC9B60"/>
    <w:lvl w:ilvl="0">
      <w:start w:val="1"/>
      <w:numFmt w:val="decimal"/>
      <w:lvlText w:val="%1."/>
      <w:lvlJc w:val="left"/>
      <w:pPr>
        <w:tabs>
          <w:tab w:val="num" w:pos="360"/>
        </w:tabs>
        <w:ind w:left="360" w:hanging="360"/>
      </w:pPr>
      <w:rPr>
        <w:rFonts w:hint="default"/>
      </w:rPr>
    </w:lvl>
  </w:abstractNum>
  <w:abstractNum w:abstractNumId="2">
    <w:nsid w:val="05787ED7"/>
    <w:multiLevelType w:val="hybridMultilevel"/>
    <w:tmpl w:val="9B44F288"/>
    <w:lvl w:ilvl="0" w:tplc="E91EC322">
      <w:start w:val="1"/>
      <w:numFmt w:val="bullet"/>
      <w:lvlText w:val="•"/>
      <w:lvlJc w:val="left"/>
      <w:pPr>
        <w:tabs>
          <w:tab w:val="num" w:pos="720"/>
        </w:tabs>
        <w:ind w:left="720" w:hanging="360"/>
      </w:pPr>
      <w:rPr>
        <w:rFonts w:ascii="Arial" w:hAnsi="Arial" w:hint="default"/>
      </w:rPr>
    </w:lvl>
    <w:lvl w:ilvl="1" w:tplc="70168F52" w:tentative="1">
      <w:start w:val="1"/>
      <w:numFmt w:val="bullet"/>
      <w:lvlText w:val="•"/>
      <w:lvlJc w:val="left"/>
      <w:pPr>
        <w:tabs>
          <w:tab w:val="num" w:pos="1440"/>
        </w:tabs>
        <w:ind w:left="1440" w:hanging="360"/>
      </w:pPr>
      <w:rPr>
        <w:rFonts w:ascii="Arial" w:hAnsi="Arial" w:hint="default"/>
      </w:rPr>
    </w:lvl>
    <w:lvl w:ilvl="2" w:tplc="9F90FB2C" w:tentative="1">
      <w:start w:val="1"/>
      <w:numFmt w:val="bullet"/>
      <w:lvlText w:val="•"/>
      <w:lvlJc w:val="left"/>
      <w:pPr>
        <w:tabs>
          <w:tab w:val="num" w:pos="2160"/>
        </w:tabs>
        <w:ind w:left="2160" w:hanging="360"/>
      </w:pPr>
      <w:rPr>
        <w:rFonts w:ascii="Arial" w:hAnsi="Arial" w:hint="default"/>
      </w:rPr>
    </w:lvl>
    <w:lvl w:ilvl="3" w:tplc="5580919A" w:tentative="1">
      <w:start w:val="1"/>
      <w:numFmt w:val="bullet"/>
      <w:lvlText w:val="•"/>
      <w:lvlJc w:val="left"/>
      <w:pPr>
        <w:tabs>
          <w:tab w:val="num" w:pos="2880"/>
        </w:tabs>
        <w:ind w:left="2880" w:hanging="360"/>
      </w:pPr>
      <w:rPr>
        <w:rFonts w:ascii="Arial" w:hAnsi="Arial" w:hint="default"/>
      </w:rPr>
    </w:lvl>
    <w:lvl w:ilvl="4" w:tplc="3588E9BE" w:tentative="1">
      <w:start w:val="1"/>
      <w:numFmt w:val="bullet"/>
      <w:lvlText w:val="•"/>
      <w:lvlJc w:val="left"/>
      <w:pPr>
        <w:tabs>
          <w:tab w:val="num" w:pos="3600"/>
        </w:tabs>
        <w:ind w:left="3600" w:hanging="360"/>
      </w:pPr>
      <w:rPr>
        <w:rFonts w:ascii="Arial" w:hAnsi="Arial" w:hint="default"/>
      </w:rPr>
    </w:lvl>
    <w:lvl w:ilvl="5" w:tplc="E13E9548" w:tentative="1">
      <w:start w:val="1"/>
      <w:numFmt w:val="bullet"/>
      <w:lvlText w:val="•"/>
      <w:lvlJc w:val="left"/>
      <w:pPr>
        <w:tabs>
          <w:tab w:val="num" w:pos="4320"/>
        </w:tabs>
        <w:ind w:left="4320" w:hanging="360"/>
      </w:pPr>
      <w:rPr>
        <w:rFonts w:ascii="Arial" w:hAnsi="Arial" w:hint="default"/>
      </w:rPr>
    </w:lvl>
    <w:lvl w:ilvl="6" w:tplc="636ECC20" w:tentative="1">
      <w:start w:val="1"/>
      <w:numFmt w:val="bullet"/>
      <w:lvlText w:val="•"/>
      <w:lvlJc w:val="left"/>
      <w:pPr>
        <w:tabs>
          <w:tab w:val="num" w:pos="5040"/>
        </w:tabs>
        <w:ind w:left="5040" w:hanging="360"/>
      </w:pPr>
      <w:rPr>
        <w:rFonts w:ascii="Arial" w:hAnsi="Arial" w:hint="default"/>
      </w:rPr>
    </w:lvl>
    <w:lvl w:ilvl="7" w:tplc="7578D8D2" w:tentative="1">
      <w:start w:val="1"/>
      <w:numFmt w:val="bullet"/>
      <w:lvlText w:val="•"/>
      <w:lvlJc w:val="left"/>
      <w:pPr>
        <w:tabs>
          <w:tab w:val="num" w:pos="5760"/>
        </w:tabs>
        <w:ind w:left="5760" w:hanging="360"/>
      </w:pPr>
      <w:rPr>
        <w:rFonts w:ascii="Arial" w:hAnsi="Arial" w:hint="default"/>
      </w:rPr>
    </w:lvl>
    <w:lvl w:ilvl="8" w:tplc="8E167BAA" w:tentative="1">
      <w:start w:val="1"/>
      <w:numFmt w:val="bullet"/>
      <w:lvlText w:val="•"/>
      <w:lvlJc w:val="left"/>
      <w:pPr>
        <w:tabs>
          <w:tab w:val="num" w:pos="6480"/>
        </w:tabs>
        <w:ind w:left="6480" w:hanging="360"/>
      </w:pPr>
      <w:rPr>
        <w:rFonts w:ascii="Arial" w:hAnsi="Arial" w:hint="default"/>
      </w:rPr>
    </w:lvl>
  </w:abstractNum>
  <w:abstractNum w:abstractNumId="3">
    <w:nsid w:val="06F46E6D"/>
    <w:multiLevelType w:val="hybridMultilevel"/>
    <w:tmpl w:val="59E41534"/>
    <w:lvl w:ilvl="0" w:tplc="EB7EE5D6">
      <w:start w:val="1"/>
      <w:numFmt w:val="bullet"/>
      <w:lvlText w:val="•"/>
      <w:lvlJc w:val="left"/>
      <w:pPr>
        <w:tabs>
          <w:tab w:val="num" w:pos="720"/>
        </w:tabs>
        <w:ind w:left="720" w:hanging="360"/>
      </w:pPr>
      <w:rPr>
        <w:rFonts w:ascii="Arial" w:hAnsi="Arial" w:hint="default"/>
      </w:rPr>
    </w:lvl>
    <w:lvl w:ilvl="1" w:tplc="F1E0BA6C" w:tentative="1">
      <w:start w:val="1"/>
      <w:numFmt w:val="bullet"/>
      <w:lvlText w:val="•"/>
      <w:lvlJc w:val="left"/>
      <w:pPr>
        <w:tabs>
          <w:tab w:val="num" w:pos="1440"/>
        </w:tabs>
        <w:ind w:left="1440" w:hanging="360"/>
      </w:pPr>
      <w:rPr>
        <w:rFonts w:ascii="Arial" w:hAnsi="Arial" w:hint="default"/>
      </w:rPr>
    </w:lvl>
    <w:lvl w:ilvl="2" w:tplc="669872B0" w:tentative="1">
      <w:start w:val="1"/>
      <w:numFmt w:val="bullet"/>
      <w:lvlText w:val="•"/>
      <w:lvlJc w:val="left"/>
      <w:pPr>
        <w:tabs>
          <w:tab w:val="num" w:pos="2160"/>
        </w:tabs>
        <w:ind w:left="2160" w:hanging="360"/>
      </w:pPr>
      <w:rPr>
        <w:rFonts w:ascii="Arial" w:hAnsi="Arial" w:hint="default"/>
      </w:rPr>
    </w:lvl>
    <w:lvl w:ilvl="3" w:tplc="31003C0E" w:tentative="1">
      <w:start w:val="1"/>
      <w:numFmt w:val="bullet"/>
      <w:lvlText w:val="•"/>
      <w:lvlJc w:val="left"/>
      <w:pPr>
        <w:tabs>
          <w:tab w:val="num" w:pos="2880"/>
        </w:tabs>
        <w:ind w:left="2880" w:hanging="360"/>
      </w:pPr>
      <w:rPr>
        <w:rFonts w:ascii="Arial" w:hAnsi="Arial" w:hint="default"/>
      </w:rPr>
    </w:lvl>
    <w:lvl w:ilvl="4" w:tplc="4300CD42" w:tentative="1">
      <w:start w:val="1"/>
      <w:numFmt w:val="bullet"/>
      <w:lvlText w:val="•"/>
      <w:lvlJc w:val="left"/>
      <w:pPr>
        <w:tabs>
          <w:tab w:val="num" w:pos="3600"/>
        </w:tabs>
        <w:ind w:left="3600" w:hanging="360"/>
      </w:pPr>
      <w:rPr>
        <w:rFonts w:ascii="Arial" w:hAnsi="Arial" w:hint="default"/>
      </w:rPr>
    </w:lvl>
    <w:lvl w:ilvl="5" w:tplc="F2C615CC" w:tentative="1">
      <w:start w:val="1"/>
      <w:numFmt w:val="bullet"/>
      <w:lvlText w:val="•"/>
      <w:lvlJc w:val="left"/>
      <w:pPr>
        <w:tabs>
          <w:tab w:val="num" w:pos="4320"/>
        </w:tabs>
        <w:ind w:left="4320" w:hanging="360"/>
      </w:pPr>
      <w:rPr>
        <w:rFonts w:ascii="Arial" w:hAnsi="Arial" w:hint="default"/>
      </w:rPr>
    </w:lvl>
    <w:lvl w:ilvl="6" w:tplc="A1BA0EDA" w:tentative="1">
      <w:start w:val="1"/>
      <w:numFmt w:val="bullet"/>
      <w:lvlText w:val="•"/>
      <w:lvlJc w:val="left"/>
      <w:pPr>
        <w:tabs>
          <w:tab w:val="num" w:pos="5040"/>
        </w:tabs>
        <w:ind w:left="5040" w:hanging="360"/>
      </w:pPr>
      <w:rPr>
        <w:rFonts w:ascii="Arial" w:hAnsi="Arial" w:hint="default"/>
      </w:rPr>
    </w:lvl>
    <w:lvl w:ilvl="7" w:tplc="081EBCC0" w:tentative="1">
      <w:start w:val="1"/>
      <w:numFmt w:val="bullet"/>
      <w:lvlText w:val="•"/>
      <w:lvlJc w:val="left"/>
      <w:pPr>
        <w:tabs>
          <w:tab w:val="num" w:pos="5760"/>
        </w:tabs>
        <w:ind w:left="5760" w:hanging="360"/>
      </w:pPr>
      <w:rPr>
        <w:rFonts w:ascii="Arial" w:hAnsi="Arial" w:hint="default"/>
      </w:rPr>
    </w:lvl>
    <w:lvl w:ilvl="8" w:tplc="87928A6E" w:tentative="1">
      <w:start w:val="1"/>
      <w:numFmt w:val="bullet"/>
      <w:lvlText w:val="•"/>
      <w:lvlJc w:val="left"/>
      <w:pPr>
        <w:tabs>
          <w:tab w:val="num" w:pos="6480"/>
        </w:tabs>
        <w:ind w:left="6480" w:hanging="360"/>
      </w:pPr>
      <w:rPr>
        <w:rFonts w:ascii="Arial" w:hAnsi="Arial" w:hint="default"/>
      </w:rPr>
    </w:lvl>
  </w:abstractNum>
  <w:abstractNum w:abstractNumId="4">
    <w:nsid w:val="09007635"/>
    <w:multiLevelType w:val="hybridMultilevel"/>
    <w:tmpl w:val="32CC40BC"/>
    <w:lvl w:ilvl="0" w:tplc="DBB6725E">
      <w:start w:val="1"/>
      <w:numFmt w:val="bullet"/>
      <w:lvlText w:val=""/>
      <w:lvlJc w:val="left"/>
      <w:pPr>
        <w:tabs>
          <w:tab w:val="num" w:pos="720"/>
        </w:tabs>
        <w:ind w:left="720" w:hanging="360"/>
      </w:pPr>
      <w:rPr>
        <w:rFonts w:ascii="Wingdings" w:hAnsi="Wingdings" w:hint="default"/>
      </w:rPr>
    </w:lvl>
    <w:lvl w:ilvl="1" w:tplc="042EA55A" w:tentative="1">
      <w:start w:val="1"/>
      <w:numFmt w:val="bullet"/>
      <w:lvlText w:val=""/>
      <w:lvlJc w:val="left"/>
      <w:pPr>
        <w:tabs>
          <w:tab w:val="num" w:pos="1440"/>
        </w:tabs>
        <w:ind w:left="1440" w:hanging="360"/>
      </w:pPr>
      <w:rPr>
        <w:rFonts w:ascii="Wingdings" w:hAnsi="Wingdings" w:hint="default"/>
      </w:rPr>
    </w:lvl>
    <w:lvl w:ilvl="2" w:tplc="1AE6379A" w:tentative="1">
      <w:start w:val="1"/>
      <w:numFmt w:val="bullet"/>
      <w:lvlText w:val=""/>
      <w:lvlJc w:val="left"/>
      <w:pPr>
        <w:tabs>
          <w:tab w:val="num" w:pos="2160"/>
        </w:tabs>
        <w:ind w:left="2160" w:hanging="360"/>
      </w:pPr>
      <w:rPr>
        <w:rFonts w:ascii="Wingdings" w:hAnsi="Wingdings" w:hint="default"/>
      </w:rPr>
    </w:lvl>
    <w:lvl w:ilvl="3" w:tplc="6114C36C" w:tentative="1">
      <w:start w:val="1"/>
      <w:numFmt w:val="bullet"/>
      <w:lvlText w:val=""/>
      <w:lvlJc w:val="left"/>
      <w:pPr>
        <w:tabs>
          <w:tab w:val="num" w:pos="2880"/>
        </w:tabs>
        <w:ind w:left="2880" w:hanging="360"/>
      </w:pPr>
      <w:rPr>
        <w:rFonts w:ascii="Wingdings" w:hAnsi="Wingdings" w:hint="default"/>
      </w:rPr>
    </w:lvl>
    <w:lvl w:ilvl="4" w:tplc="7930AC82" w:tentative="1">
      <w:start w:val="1"/>
      <w:numFmt w:val="bullet"/>
      <w:lvlText w:val=""/>
      <w:lvlJc w:val="left"/>
      <w:pPr>
        <w:tabs>
          <w:tab w:val="num" w:pos="3600"/>
        </w:tabs>
        <w:ind w:left="3600" w:hanging="360"/>
      </w:pPr>
      <w:rPr>
        <w:rFonts w:ascii="Wingdings" w:hAnsi="Wingdings" w:hint="default"/>
      </w:rPr>
    </w:lvl>
    <w:lvl w:ilvl="5" w:tplc="ACC6BAB0" w:tentative="1">
      <w:start w:val="1"/>
      <w:numFmt w:val="bullet"/>
      <w:lvlText w:val=""/>
      <w:lvlJc w:val="left"/>
      <w:pPr>
        <w:tabs>
          <w:tab w:val="num" w:pos="4320"/>
        </w:tabs>
        <w:ind w:left="4320" w:hanging="360"/>
      </w:pPr>
      <w:rPr>
        <w:rFonts w:ascii="Wingdings" w:hAnsi="Wingdings" w:hint="default"/>
      </w:rPr>
    </w:lvl>
    <w:lvl w:ilvl="6" w:tplc="60F4CF40" w:tentative="1">
      <w:start w:val="1"/>
      <w:numFmt w:val="bullet"/>
      <w:lvlText w:val=""/>
      <w:lvlJc w:val="left"/>
      <w:pPr>
        <w:tabs>
          <w:tab w:val="num" w:pos="5040"/>
        </w:tabs>
        <w:ind w:left="5040" w:hanging="360"/>
      </w:pPr>
      <w:rPr>
        <w:rFonts w:ascii="Wingdings" w:hAnsi="Wingdings" w:hint="default"/>
      </w:rPr>
    </w:lvl>
    <w:lvl w:ilvl="7" w:tplc="4948CD18" w:tentative="1">
      <w:start w:val="1"/>
      <w:numFmt w:val="bullet"/>
      <w:lvlText w:val=""/>
      <w:lvlJc w:val="left"/>
      <w:pPr>
        <w:tabs>
          <w:tab w:val="num" w:pos="5760"/>
        </w:tabs>
        <w:ind w:left="5760" w:hanging="360"/>
      </w:pPr>
      <w:rPr>
        <w:rFonts w:ascii="Wingdings" w:hAnsi="Wingdings" w:hint="default"/>
      </w:rPr>
    </w:lvl>
    <w:lvl w:ilvl="8" w:tplc="CAA81CCA" w:tentative="1">
      <w:start w:val="1"/>
      <w:numFmt w:val="bullet"/>
      <w:lvlText w:val=""/>
      <w:lvlJc w:val="left"/>
      <w:pPr>
        <w:tabs>
          <w:tab w:val="num" w:pos="6480"/>
        </w:tabs>
        <w:ind w:left="6480" w:hanging="360"/>
      </w:pPr>
      <w:rPr>
        <w:rFonts w:ascii="Wingdings" w:hAnsi="Wingdings" w:hint="default"/>
      </w:rPr>
    </w:lvl>
  </w:abstractNum>
  <w:abstractNum w:abstractNumId="5">
    <w:nsid w:val="0D930167"/>
    <w:multiLevelType w:val="hybridMultilevel"/>
    <w:tmpl w:val="062E7C2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09F4800"/>
    <w:multiLevelType w:val="hybridMultilevel"/>
    <w:tmpl w:val="A4EEF14E"/>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63030C5"/>
    <w:multiLevelType w:val="hybridMultilevel"/>
    <w:tmpl w:val="6B622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512264"/>
    <w:multiLevelType w:val="hybridMultilevel"/>
    <w:tmpl w:val="09160564"/>
    <w:lvl w:ilvl="0" w:tplc="44E68C1C">
      <w:start w:val="1"/>
      <w:numFmt w:val="bullet"/>
      <w:lvlText w:val="•"/>
      <w:lvlJc w:val="left"/>
      <w:pPr>
        <w:tabs>
          <w:tab w:val="num" w:pos="720"/>
        </w:tabs>
        <w:ind w:left="720" w:hanging="360"/>
      </w:pPr>
      <w:rPr>
        <w:rFonts w:ascii="Times New Roman" w:hAnsi="Times New Roman" w:hint="default"/>
      </w:rPr>
    </w:lvl>
    <w:lvl w:ilvl="1" w:tplc="8C8A218C" w:tentative="1">
      <w:start w:val="1"/>
      <w:numFmt w:val="bullet"/>
      <w:lvlText w:val="•"/>
      <w:lvlJc w:val="left"/>
      <w:pPr>
        <w:tabs>
          <w:tab w:val="num" w:pos="1440"/>
        </w:tabs>
        <w:ind w:left="1440" w:hanging="360"/>
      </w:pPr>
      <w:rPr>
        <w:rFonts w:ascii="Times New Roman" w:hAnsi="Times New Roman" w:hint="default"/>
      </w:rPr>
    </w:lvl>
    <w:lvl w:ilvl="2" w:tplc="51CA3026" w:tentative="1">
      <w:start w:val="1"/>
      <w:numFmt w:val="bullet"/>
      <w:lvlText w:val="•"/>
      <w:lvlJc w:val="left"/>
      <w:pPr>
        <w:tabs>
          <w:tab w:val="num" w:pos="2160"/>
        </w:tabs>
        <w:ind w:left="2160" w:hanging="360"/>
      </w:pPr>
      <w:rPr>
        <w:rFonts w:ascii="Times New Roman" w:hAnsi="Times New Roman" w:hint="default"/>
      </w:rPr>
    </w:lvl>
    <w:lvl w:ilvl="3" w:tplc="980CACC0" w:tentative="1">
      <w:start w:val="1"/>
      <w:numFmt w:val="bullet"/>
      <w:lvlText w:val="•"/>
      <w:lvlJc w:val="left"/>
      <w:pPr>
        <w:tabs>
          <w:tab w:val="num" w:pos="2880"/>
        </w:tabs>
        <w:ind w:left="2880" w:hanging="360"/>
      </w:pPr>
      <w:rPr>
        <w:rFonts w:ascii="Times New Roman" w:hAnsi="Times New Roman" w:hint="default"/>
      </w:rPr>
    </w:lvl>
    <w:lvl w:ilvl="4" w:tplc="F424CD96" w:tentative="1">
      <w:start w:val="1"/>
      <w:numFmt w:val="bullet"/>
      <w:lvlText w:val="•"/>
      <w:lvlJc w:val="left"/>
      <w:pPr>
        <w:tabs>
          <w:tab w:val="num" w:pos="3600"/>
        </w:tabs>
        <w:ind w:left="3600" w:hanging="360"/>
      </w:pPr>
      <w:rPr>
        <w:rFonts w:ascii="Times New Roman" w:hAnsi="Times New Roman" w:hint="default"/>
      </w:rPr>
    </w:lvl>
    <w:lvl w:ilvl="5" w:tplc="8D4E8354" w:tentative="1">
      <w:start w:val="1"/>
      <w:numFmt w:val="bullet"/>
      <w:lvlText w:val="•"/>
      <w:lvlJc w:val="left"/>
      <w:pPr>
        <w:tabs>
          <w:tab w:val="num" w:pos="4320"/>
        </w:tabs>
        <w:ind w:left="4320" w:hanging="360"/>
      </w:pPr>
      <w:rPr>
        <w:rFonts w:ascii="Times New Roman" w:hAnsi="Times New Roman" w:hint="default"/>
      </w:rPr>
    </w:lvl>
    <w:lvl w:ilvl="6" w:tplc="AF5E4F12" w:tentative="1">
      <w:start w:val="1"/>
      <w:numFmt w:val="bullet"/>
      <w:lvlText w:val="•"/>
      <w:lvlJc w:val="left"/>
      <w:pPr>
        <w:tabs>
          <w:tab w:val="num" w:pos="5040"/>
        </w:tabs>
        <w:ind w:left="5040" w:hanging="360"/>
      </w:pPr>
      <w:rPr>
        <w:rFonts w:ascii="Times New Roman" w:hAnsi="Times New Roman" w:hint="default"/>
      </w:rPr>
    </w:lvl>
    <w:lvl w:ilvl="7" w:tplc="EFC6224A" w:tentative="1">
      <w:start w:val="1"/>
      <w:numFmt w:val="bullet"/>
      <w:lvlText w:val="•"/>
      <w:lvlJc w:val="left"/>
      <w:pPr>
        <w:tabs>
          <w:tab w:val="num" w:pos="5760"/>
        </w:tabs>
        <w:ind w:left="5760" w:hanging="360"/>
      </w:pPr>
      <w:rPr>
        <w:rFonts w:ascii="Times New Roman" w:hAnsi="Times New Roman" w:hint="default"/>
      </w:rPr>
    </w:lvl>
    <w:lvl w:ilvl="8" w:tplc="ECE6E5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FA4806"/>
    <w:multiLevelType w:val="hybridMultilevel"/>
    <w:tmpl w:val="922E7312"/>
    <w:lvl w:ilvl="0" w:tplc="F672015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437F18"/>
    <w:multiLevelType w:val="hybridMultilevel"/>
    <w:tmpl w:val="2FE83432"/>
    <w:lvl w:ilvl="0" w:tplc="E9481BD4">
      <w:start w:val="1"/>
      <w:numFmt w:val="bullet"/>
      <w:lvlText w:val="•"/>
      <w:lvlJc w:val="left"/>
      <w:pPr>
        <w:tabs>
          <w:tab w:val="num" w:pos="720"/>
        </w:tabs>
        <w:ind w:left="720" w:hanging="360"/>
      </w:pPr>
      <w:rPr>
        <w:rFonts w:ascii="Arial" w:hAnsi="Arial" w:hint="default"/>
      </w:rPr>
    </w:lvl>
    <w:lvl w:ilvl="1" w:tplc="F06627AE" w:tentative="1">
      <w:start w:val="1"/>
      <w:numFmt w:val="bullet"/>
      <w:lvlText w:val="•"/>
      <w:lvlJc w:val="left"/>
      <w:pPr>
        <w:tabs>
          <w:tab w:val="num" w:pos="1440"/>
        </w:tabs>
        <w:ind w:left="1440" w:hanging="360"/>
      </w:pPr>
      <w:rPr>
        <w:rFonts w:ascii="Arial" w:hAnsi="Arial" w:hint="default"/>
      </w:rPr>
    </w:lvl>
    <w:lvl w:ilvl="2" w:tplc="89608ACC" w:tentative="1">
      <w:start w:val="1"/>
      <w:numFmt w:val="bullet"/>
      <w:lvlText w:val="•"/>
      <w:lvlJc w:val="left"/>
      <w:pPr>
        <w:tabs>
          <w:tab w:val="num" w:pos="2160"/>
        </w:tabs>
        <w:ind w:left="2160" w:hanging="360"/>
      </w:pPr>
      <w:rPr>
        <w:rFonts w:ascii="Arial" w:hAnsi="Arial" w:hint="default"/>
      </w:rPr>
    </w:lvl>
    <w:lvl w:ilvl="3" w:tplc="2936489E" w:tentative="1">
      <w:start w:val="1"/>
      <w:numFmt w:val="bullet"/>
      <w:lvlText w:val="•"/>
      <w:lvlJc w:val="left"/>
      <w:pPr>
        <w:tabs>
          <w:tab w:val="num" w:pos="2880"/>
        </w:tabs>
        <w:ind w:left="2880" w:hanging="360"/>
      </w:pPr>
      <w:rPr>
        <w:rFonts w:ascii="Arial" w:hAnsi="Arial" w:hint="default"/>
      </w:rPr>
    </w:lvl>
    <w:lvl w:ilvl="4" w:tplc="53EAB2B0" w:tentative="1">
      <w:start w:val="1"/>
      <w:numFmt w:val="bullet"/>
      <w:lvlText w:val="•"/>
      <w:lvlJc w:val="left"/>
      <w:pPr>
        <w:tabs>
          <w:tab w:val="num" w:pos="3600"/>
        </w:tabs>
        <w:ind w:left="3600" w:hanging="360"/>
      </w:pPr>
      <w:rPr>
        <w:rFonts w:ascii="Arial" w:hAnsi="Arial" w:hint="default"/>
      </w:rPr>
    </w:lvl>
    <w:lvl w:ilvl="5" w:tplc="7EE80FEA" w:tentative="1">
      <w:start w:val="1"/>
      <w:numFmt w:val="bullet"/>
      <w:lvlText w:val="•"/>
      <w:lvlJc w:val="left"/>
      <w:pPr>
        <w:tabs>
          <w:tab w:val="num" w:pos="4320"/>
        </w:tabs>
        <w:ind w:left="4320" w:hanging="360"/>
      </w:pPr>
      <w:rPr>
        <w:rFonts w:ascii="Arial" w:hAnsi="Arial" w:hint="default"/>
      </w:rPr>
    </w:lvl>
    <w:lvl w:ilvl="6" w:tplc="DFA68D52" w:tentative="1">
      <w:start w:val="1"/>
      <w:numFmt w:val="bullet"/>
      <w:lvlText w:val="•"/>
      <w:lvlJc w:val="left"/>
      <w:pPr>
        <w:tabs>
          <w:tab w:val="num" w:pos="5040"/>
        </w:tabs>
        <w:ind w:left="5040" w:hanging="360"/>
      </w:pPr>
      <w:rPr>
        <w:rFonts w:ascii="Arial" w:hAnsi="Arial" w:hint="default"/>
      </w:rPr>
    </w:lvl>
    <w:lvl w:ilvl="7" w:tplc="0D1C3482" w:tentative="1">
      <w:start w:val="1"/>
      <w:numFmt w:val="bullet"/>
      <w:lvlText w:val="•"/>
      <w:lvlJc w:val="left"/>
      <w:pPr>
        <w:tabs>
          <w:tab w:val="num" w:pos="5760"/>
        </w:tabs>
        <w:ind w:left="5760" w:hanging="360"/>
      </w:pPr>
      <w:rPr>
        <w:rFonts w:ascii="Arial" w:hAnsi="Arial" w:hint="default"/>
      </w:rPr>
    </w:lvl>
    <w:lvl w:ilvl="8" w:tplc="F16E8CF6" w:tentative="1">
      <w:start w:val="1"/>
      <w:numFmt w:val="bullet"/>
      <w:lvlText w:val="•"/>
      <w:lvlJc w:val="left"/>
      <w:pPr>
        <w:tabs>
          <w:tab w:val="num" w:pos="6480"/>
        </w:tabs>
        <w:ind w:left="6480" w:hanging="360"/>
      </w:pPr>
      <w:rPr>
        <w:rFonts w:ascii="Arial" w:hAnsi="Arial" w:hint="default"/>
      </w:rPr>
    </w:lvl>
  </w:abstractNum>
  <w:abstractNum w:abstractNumId="11">
    <w:nsid w:val="40BC1C00"/>
    <w:multiLevelType w:val="multilevel"/>
    <w:tmpl w:val="D756A7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541286"/>
    <w:multiLevelType w:val="hybridMultilevel"/>
    <w:tmpl w:val="5B9E18A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25708B8"/>
    <w:multiLevelType w:val="multilevel"/>
    <w:tmpl w:val="700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F69C0"/>
    <w:multiLevelType w:val="hybridMultilevel"/>
    <w:tmpl w:val="68FE4D80"/>
    <w:lvl w:ilvl="0" w:tplc="857A031A">
      <w:start w:val="1"/>
      <w:numFmt w:val="bullet"/>
      <w:lvlText w:val="•"/>
      <w:lvlJc w:val="left"/>
      <w:pPr>
        <w:tabs>
          <w:tab w:val="num" w:pos="720"/>
        </w:tabs>
        <w:ind w:left="720" w:hanging="360"/>
      </w:pPr>
      <w:rPr>
        <w:rFonts w:ascii="Arial" w:hAnsi="Arial" w:hint="default"/>
      </w:rPr>
    </w:lvl>
    <w:lvl w:ilvl="1" w:tplc="60342440" w:tentative="1">
      <w:start w:val="1"/>
      <w:numFmt w:val="bullet"/>
      <w:lvlText w:val="•"/>
      <w:lvlJc w:val="left"/>
      <w:pPr>
        <w:tabs>
          <w:tab w:val="num" w:pos="1440"/>
        </w:tabs>
        <w:ind w:left="1440" w:hanging="360"/>
      </w:pPr>
      <w:rPr>
        <w:rFonts w:ascii="Arial" w:hAnsi="Arial" w:hint="default"/>
      </w:rPr>
    </w:lvl>
    <w:lvl w:ilvl="2" w:tplc="1B840706" w:tentative="1">
      <w:start w:val="1"/>
      <w:numFmt w:val="bullet"/>
      <w:lvlText w:val="•"/>
      <w:lvlJc w:val="left"/>
      <w:pPr>
        <w:tabs>
          <w:tab w:val="num" w:pos="2160"/>
        </w:tabs>
        <w:ind w:left="2160" w:hanging="360"/>
      </w:pPr>
      <w:rPr>
        <w:rFonts w:ascii="Arial" w:hAnsi="Arial" w:hint="default"/>
      </w:rPr>
    </w:lvl>
    <w:lvl w:ilvl="3" w:tplc="DDD4CF32" w:tentative="1">
      <w:start w:val="1"/>
      <w:numFmt w:val="bullet"/>
      <w:lvlText w:val="•"/>
      <w:lvlJc w:val="left"/>
      <w:pPr>
        <w:tabs>
          <w:tab w:val="num" w:pos="2880"/>
        </w:tabs>
        <w:ind w:left="2880" w:hanging="360"/>
      </w:pPr>
      <w:rPr>
        <w:rFonts w:ascii="Arial" w:hAnsi="Arial" w:hint="default"/>
      </w:rPr>
    </w:lvl>
    <w:lvl w:ilvl="4" w:tplc="48E02DAC" w:tentative="1">
      <w:start w:val="1"/>
      <w:numFmt w:val="bullet"/>
      <w:lvlText w:val="•"/>
      <w:lvlJc w:val="left"/>
      <w:pPr>
        <w:tabs>
          <w:tab w:val="num" w:pos="3600"/>
        </w:tabs>
        <w:ind w:left="3600" w:hanging="360"/>
      </w:pPr>
      <w:rPr>
        <w:rFonts w:ascii="Arial" w:hAnsi="Arial" w:hint="default"/>
      </w:rPr>
    </w:lvl>
    <w:lvl w:ilvl="5" w:tplc="AC222214" w:tentative="1">
      <w:start w:val="1"/>
      <w:numFmt w:val="bullet"/>
      <w:lvlText w:val="•"/>
      <w:lvlJc w:val="left"/>
      <w:pPr>
        <w:tabs>
          <w:tab w:val="num" w:pos="4320"/>
        </w:tabs>
        <w:ind w:left="4320" w:hanging="360"/>
      </w:pPr>
      <w:rPr>
        <w:rFonts w:ascii="Arial" w:hAnsi="Arial" w:hint="default"/>
      </w:rPr>
    </w:lvl>
    <w:lvl w:ilvl="6" w:tplc="A7921CA8" w:tentative="1">
      <w:start w:val="1"/>
      <w:numFmt w:val="bullet"/>
      <w:lvlText w:val="•"/>
      <w:lvlJc w:val="left"/>
      <w:pPr>
        <w:tabs>
          <w:tab w:val="num" w:pos="5040"/>
        </w:tabs>
        <w:ind w:left="5040" w:hanging="360"/>
      </w:pPr>
      <w:rPr>
        <w:rFonts w:ascii="Arial" w:hAnsi="Arial" w:hint="default"/>
      </w:rPr>
    </w:lvl>
    <w:lvl w:ilvl="7" w:tplc="B120A274" w:tentative="1">
      <w:start w:val="1"/>
      <w:numFmt w:val="bullet"/>
      <w:lvlText w:val="•"/>
      <w:lvlJc w:val="left"/>
      <w:pPr>
        <w:tabs>
          <w:tab w:val="num" w:pos="5760"/>
        </w:tabs>
        <w:ind w:left="5760" w:hanging="360"/>
      </w:pPr>
      <w:rPr>
        <w:rFonts w:ascii="Arial" w:hAnsi="Arial" w:hint="default"/>
      </w:rPr>
    </w:lvl>
    <w:lvl w:ilvl="8" w:tplc="A5ECEB20" w:tentative="1">
      <w:start w:val="1"/>
      <w:numFmt w:val="bullet"/>
      <w:lvlText w:val="•"/>
      <w:lvlJc w:val="left"/>
      <w:pPr>
        <w:tabs>
          <w:tab w:val="num" w:pos="6480"/>
        </w:tabs>
        <w:ind w:left="6480" w:hanging="360"/>
      </w:pPr>
      <w:rPr>
        <w:rFonts w:ascii="Arial" w:hAnsi="Arial" w:hint="default"/>
      </w:rPr>
    </w:lvl>
  </w:abstractNum>
  <w:abstractNum w:abstractNumId="15">
    <w:nsid w:val="553C1CE8"/>
    <w:multiLevelType w:val="hybridMultilevel"/>
    <w:tmpl w:val="4E2AF872"/>
    <w:lvl w:ilvl="0" w:tplc="CEBEE3E8">
      <w:start w:val="1"/>
      <w:numFmt w:val="bullet"/>
      <w:lvlText w:val="•"/>
      <w:lvlJc w:val="left"/>
      <w:pPr>
        <w:tabs>
          <w:tab w:val="num" w:pos="720"/>
        </w:tabs>
        <w:ind w:left="720" w:hanging="360"/>
      </w:pPr>
      <w:rPr>
        <w:rFonts w:ascii="Times New Roman" w:hAnsi="Times New Roman" w:hint="default"/>
      </w:rPr>
    </w:lvl>
    <w:lvl w:ilvl="1" w:tplc="B9E405AA" w:tentative="1">
      <w:start w:val="1"/>
      <w:numFmt w:val="bullet"/>
      <w:lvlText w:val="•"/>
      <w:lvlJc w:val="left"/>
      <w:pPr>
        <w:tabs>
          <w:tab w:val="num" w:pos="1440"/>
        </w:tabs>
        <w:ind w:left="1440" w:hanging="360"/>
      </w:pPr>
      <w:rPr>
        <w:rFonts w:ascii="Times New Roman" w:hAnsi="Times New Roman" w:hint="default"/>
      </w:rPr>
    </w:lvl>
    <w:lvl w:ilvl="2" w:tplc="CE7888B8" w:tentative="1">
      <w:start w:val="1"/>
      <w:numFmt w:val="bullet"/>
      <w:lvlText w:val="•"/>
      <w:lvlJc w:val="left"/>
      <w:pPr>
        <w:tabs>
          <w:tab w:val="num" w:pos="2160"/>
        </w:tabs>
        <w:ind w:left="2160" w:hanging="360"/>
      </w:pPr>
      <w:rPr>
        <w:rFonts w:ascii="Times New Roman" w:hAnsi="Times New Roman" w:hint="default"/>
      </w:rPr>
    </w:lvl>
    <w:lvl w:ilvl="3" w:tplc="9482E0C0" w:tentative="1">
      <w:start w:val="1"/>
      <w:numFmt w:val="bullet"/>
      <w:lvlText w:val="•"/>
      <w:lvlJc w:val="left"/>
      <w:pPr>
        <w:tabs>
          <w:tab w:val="num" w:pos="2880"/>
        </w:tabs>
        <w:ind w:left="2880" w:hanging="360"/>
      </w:pPr>
      <w:rPr>
        <w:rFonts w:ascii="Times New Roman" w:hAnsi="Times New Roman" w:hint="default"/>
      </w:rPr>
    </w:lvl>
    <w:lvl w:ilvl="4" w:tplc="B128C562" w:tentative="1">
      <w:start w:val="1"/>
      <w:numFmt w:val="bullet"/>
      <w:lvlText w:val="•"/>
      <w:lvlJc w:val="left"/>
      <w:pPr>
        <w:tabs>
          <w:tab w:val="num" w:pos="3600"/>
        </w:tabs>
        <w:ind w:left="3600" w:hanging="360"/>
      </w:pPr>
      <w:rPr>
        <w:rFonts w:ascii="Times New Roman" w:hAnsi="Times New Roman" w:hint="default"/>
      </w:rPr>
    </w:lvl>
    <w:lvl w:ilvl="5" w:tplc="F8D21B1E" w:tentative="1">
      <w:start w:val="1"/>
      <w:numFmt w:val="bullet"/>
      <w:lvlText w:val="•"/>
      <w:lvlJc w:val="left"/>
      <w:pPr>
        <w:tabs>
          <w:tab w:val="num" w:pos="4320"/>
        </w:tabs>
        <w:ind w:left="4320" w:hanging="360"/>
      </w:pPr>
      <w:rPr>
        <w:rFonts w:ascii="Times New Roman" w:hAnsi="Times New Roman" w:hint="default"/>
      </w:rPr>
    </w:lvl>
    <w:lvl w:ilvl="6" w:tplc="8DF696DE" w:tentative="1">
      <w:start w:val="1"/>
      <w:numFmt w:val="bullet"/>
      <w:lvlText w:val="•"/>
      <w:lvlJc w:val="left"/>
      <w:pPr>
        <w:tabs>
          <w:tab w:val="num" w:pos="5040"/>
        </w:tabs>
        <w:ind w:left="5040" w:hanging="360"/>
      </w:pPr>
      <w:rPr>
        <w:rFonts w:ascii="Times New Roman" w:hAnsi="Times New Roman" w:hint="default"/>
      </w:rPr>
    </w:lvl>
    <w:lvl w:ilvl="7" w:tplc="35C0737C" w:tentative="1">
      <w:start w:val="1"/>
      <w:numFmt w:val="bullet"/>
      <w:lvlText w:val="•"/>
      <w:lvlJc w:val="left"/>
      <w:pPr>
        <w:tabs>
          <w:tab w:val="num" w:pos="5760"/>
        </w:tabs>
        <w:ind w:left="5760" w:hanging="360"/>
      </w:pPr>
      <w:rPr>
        <w:rFonts w:ascii="Times New Roman" w:hAnsi="Times New Roman" w:hint="default"/>
      </w:rPr>
    </w:lvl>
    <w:lvl w:ilvl="8" w:tplc="E3A4C86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AA654E3"/>
    <w:multiLevelType w:val="hybridMultilevel"/>
    <w:tmpl w:val="95101F7C"/>
    <w:lvl w:ilvl="0" w:tplc="2392F456">
      <w:start w:val="1"/>
      <w:numFmt w:val="bullet"/>
      <w:lvlText w:val=""/>
      <w:lvlJc w:val="left"/>
      <w:pPr>
        <w:tabs>
          <w:tab w:val="num" w:pos="720"/>
        </w:tabs>
        <w:ind w:left="720" w:hanging="360"/>
      </w:pPr>
      <w:rPr>
        <w:rFonts w:ascii="Wingdings" w:hAnsi="Wingdings" w:hint="default"/>
      </w:rPr>
    </w:lvl>
    <w:lvl w:ilvl="1" w:tplc="52E46CB8" w:tentative="1">
      <w:start w:val="1"/>
      <w:numFmt w:val="bullet"/>
      <w:lvlText w:val=""/>
      <w:lvlJc w:val="left"/>
      <w:pPr>
        <w:tabs>
          <w:tab w:val="num" w:pos="1440"/>
        </w:tabs>
        <w:ind w:left="1440" w:hanging="360"/>
      </w:pPr>
      <w:rPr>
        <w:rFonts w:ascii="Wingdings" w:hAnsi="Wingdings" w:hint="default"/>
      </w:rPr>
    </w:lvl>
    <w:lvl w:ilvl="2" w:tplc="3EE8A316" w:tentative="1">
      <w:start w:val="1"/>
      <w:numFmt w:val="bullet"/>
      <w:lvlText w:val=""/>
      <w:lvlJc w:val="left"/>
      <w:pPr>
        <w:tabs>
          <w:tab w:val="num" w:pos="2160"/>
        </w:tabs>
        <w:ind w:left="2160" w:hanging="360"/>
      </w:pPr>
      <w:rPr>
        <w:rFonts w:ascii="Wingdings" w:hAnsi="Wingdings" w:hint="default"/>
      </w:rPr>
    </w:lvl>
    <w:lvl w:ilvl="3" w:tplc="097C3162" w:tentative="1">
      <w:start w:val="1"/>
      <w:numFmt w:val="bullet"/>
      <w:lvlText w:val=""/>
      <w:lvlJc w:val="left"/>
      <w:pPr>
        <w:tabs>
          <w:tab w:val="num" w:pos="2880"/>
        </w:tabs>
        <w:ind w:left="2880" w:hanging="360"/>
      </w:pPr>
      <w:rPr>
        <w:rFonts w:ascii="Wingdings" w:hAnsi="Wingdings" w:hint="default"/>
      </w:rPr>
    </w:lvl>
    <w:lvl w:ilvl="4" w:tplc="D8EED4BE" w:tentative="1">
      <w:start w:val="1"/>
      <w:numFmt w:val="bullet"/>
      <w:lvlText w:val=""/>
      <w:lvlJc w:val="left"/>
      <w:pPr>
        <w:tabs>
          <w:tab w:val="num" w:pos="3600"/>
        </w:tabs>
        <w:ind w:left="3600" w:hanging="360"/>
      </w:pPr>
      <w:rPr>
        <w:rFonts w:ascii="Wingdings" w:hAnsi="Wingdings" w:hint="default"/>
      </w:rPr>
    </w:lvl>
    <w:lvl w:ilvl="5" w:tplc="1E783E44" w:tentative="1">
      <w:start w:val="1"/>
      <w:numFmt w:val="bullet"/>
      <w:lvlText w:val=""/>
      <w:lvlJc w:val="left"/>
      <w:pPr>
        <w:tabs>
          <w:tab w:val="num" w:pos="4320"/>
        </w:tabs>
        <w:ind w:left="4320" w:hanging="360"/>
      </w:pPr>
      <w:rPr>
        <w:rFonts w:ascii="Wingdings" w:hAnsi="Wingdings" w:hint="default"/>
      </w:rPr>
    </w:lvl>
    <w:lvl w:ilvl="6" w:tplc="3EDA9968" w:tentative="1">
      <w:start w:val="1"/>
      <w:numFmt w:val="bullet"/>
      <w:lvlText w:val=""/>
      <w:lvlJc w:val="left"/>
      <w:pPr>
        <w:tabs>
          <w:tab w:val="num" w:pos="5040"/>
        </w:tabs>
        <w:ind w:left="5040" w:hanging="360"/>
      </w:pPr>
      <w:rPr>
        <w:rFonts w:ascii="Wingdings" w:hAnsi="Wingdings" w:hint="default"/>
      </w:rPr>
    </w:lvl>
    <w:lvl w:ilvl="7" w:tplc="C71E7EE2" w:tentative="1">
      <w:start w:val="1"/>
      <w:numFmt w:val="bullet"/>
      <w:lvlText w:val=""/>
      <w:lvlJc w:val="left"/>
      <w:pPr>
        <w:tabs>
          <w:tab w:val="num" w:pos="5760"/>
        </w:tabs>
        <w:ind w:left="5760" w:hanging="360"/>
      </w:pPr>
      <w:rPr>
        <w:rFonts w:ascii="Wingdings" w:hAnsi="Wingdings" w:hint="default"/>
      </w:rPr>
    </w:lvl>
    <w:lvl w:ilvl="8" w:tplc="445CFD26" w:tentative="1">
      <w:start w:val="1"/>
      <w:numFmt w:val="bullet"/>
      <w:lvlText w:val=""/>
      <w:lvlJc w:val="left"/>
      <w:pPr>
        <w:tabs>
          <w:tab w:val="num" w:pos="6480"/>
        </w:tabs>
        <w:ind w:left="6480" w:hanging="360"/>
      </w:pPr>
      <w:rPr>
        <w:rFonts w:ascii="Wingdings" w:hAnsi="Wingdings" w:hint="default"/>
      </w:rPr>
    </w:lvl>
  </w:abstractNum>
  <w:abstractNum w:abstractNumId="17">
    <w:nsid w:val="5F870B78"/>
    <w:multiLevelType w:val="hybridMultilevel"/>
    <w:tmpl w:val="5D32BAFC"/>
    <w:lvl w:ilvl="0" w:tplc="D3DC2B5C">
      <w:start w:val="1"/>
      <w:numFmt w:val="bullet"/>
      <w:lvlText w:val="•"/>
      <w:lvlJc w:val="left"/>
      <w:pPr>
        <w:tabs>
          <w:tab w:val="num" w:pos="720"/>
        </w:tabs>
        <w:ind w:left="720" w:hanging="360"/>
      </w:pPr>
      <w:rPr>
        <w:rFonts w:ascii="Times New Roman" w:hAnsi="Times New Roman" w:hint="default"/>
      </w:rPr>
    </w:lvl>
    <w:lvl w:ilvl="1" w:tplc="BED0C0D2" w:tentative="1">
      <w:start w:val="1"/>
      <w:numFmt w:val="bullet"/>
      <w:lvlText w:val="•"/>
      <w:lvlJc w:val="left"/>
      <w:pPr>
        <w:tabs>
          <w:tab w:val="num" w:pos="1440"/>
        </w:tabs>
        <w:ind w:left="1440" w:hanging="360"/>
      </w:pPr>
      <w:rPr>
        <w:rFonts w:ascii="Times New Roman" w:hAnsi="Times New Roman" w:hint="default"/>
      </w:rPr>
    </w:lvl>
    <w:lvl w:ilvl="2" w:tplc="B6C64712" w:tentative="1">
      <w:start w:val="1"/>
      <w:numFmt w:val="bullet"/>
      <w:lvlText w:val="•"/>
      <w:lvlJc w:val="left"/>
      <w:pPr>
        <w:tabs>
          <w:tab w:val="num" w:pos="2160"/>
        </w:tabs>
        <w:ind w:left="2160" w:hanging="360"/>
      </w:pPr>
      <w:rPr>
        <w:rFonts w:ascii="Times New Roman" w:hAnsi="Times New Roman" w:hint="default"/>
      </w:rPr>
    </w:lvl>
    <w:lvl w:ilvl="3" w:tplc="CA20CDB6" w:tentative="1">
      <w:start w:val="1"/>
      <w:numFmt w:val="bullet"/>
      <w:lvlText w:val="•"/>
      <w:lvlJc w:val="left"/>
      <w:pPr>
        <w:tabs>
          <w:tab w:val="num" w:pos="2880"/>
        </w:tabs>
        <w:ind w:left="2880" w:hanging="360"/>
      </w:pPr>
      <w:rPr>
        <w:rFonts w:ascii="Times New Roman" w:hAnsi="Times New Roman" w:hint="default"/>
      </w:rPr>
    </w:lvl>
    <w:lvl w:ilvl="4" w:tplc="50706B7C" w:tentative="1">
      <w:start w:val="1"/>
      <w:numFmt w:val="bullet"/>
      <w:lvlText w:val="•"/>
      <w:lvlJc w:val="left"/>
      <w:pPr>
        <w:tabs>
          <w:tab w:val="num" w:pos="3600"/>
        </w:tabs>
        <w:ind w:left="3600" w:hanging="360"/>
      </w:pPr>
      <w:rPr>
        <w:rFonts w:ascii="Times New Roman" w:hAnsi="Times New Roman" w:hint="default"/>
      </w:rPr>
    </w:lvl>
    <w:lvl w:ilvl="5" w:tplc="F196A2F6" w:tentative="1">
      <w:start w:val="1"/>
      <w:numFmt w:val="bullet"/>
      <w:lvlText w:val="•"/>
      <w:lvlJc w:val="left"/>
      <w:pPr>
        <w:tabs>
          <w:tab w:val="num" w:pos="4320"/>
        </w:tabs>
        <w:ind w:left="4320" w:hanging="360"/>
      </w:pPr>
      <w:rPr>
        <w:rFonts w:ascii="Times New Roman" w:hAnsi="Times New Roman" w:hint="default"/>
      </w:rPr>
    </w:lvl>
    <w:lvl w:ilvl="6" w:tplc="23A8488A" w:tentative="1">
      <w:start w:val="1"/>
      <w:numFmt w:val="bullet"/>
      <w:lvlText w:val="•"/>
      <w:lvlJc w:val="left"/>
      <w:pPr>
        <w:tabs>
          <w:tab w:val="num" w:pos="5040"/>
        </w:tabs>
        <w:ind w:left="5040" w:hanging="360"/>
      </w:pPr>
      <w:rPr>
        <w:rFonts w:ascii="Times New Roman" w:hAnsi="Times New Roman" w:hint="default"/>
      </w:rPr>
    </w:lvl>
    <w:lvl w:ilvl="7" w:tplc="379CAC9C" w:tentative="1">
      <w:start w:val="1"/>
      <w:numFmt w:val="bullet"/>
      <w:lvlText w:val="•"/>
      <w:lvlJc w:val="left"/>
      <w:pPr>
        <w:tabs>
          <w:tab w:val="num" w:pos="5760"/>
        </w:tabs>
        <w:ind w:left="5760" w:hanging="360"/>
      </w:pPr>
      <w:rPr>
        <w:rFonts w:ascii="Times New Roman" w:hAnsi="Times New Roman" w:hint="default"/>
      </w:rPr>
    </w:lvl>
    <w:lvl w:ilvl="8" w:tplc="88629E1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3AC0777"/>
    <w:multiLevelType w:val="hybridMultilevel"/>
    <w:tmpl w:val="26087EE8"/>
    <w:lvl w:ilvl="0" w:tplc="0B040FB0">
      <w:start w:val="1"/>
      <w:numFmt w:val="bullet"/>
      <w:lvlText w:val="•"/>
      <w:lvlJc w:val="left"/>
      <w:pPr>
        <w:tabs>
          <w:tab w:val="num" w:pos="720"/>
        </w:tabs>
        <w:ind w:left="720" w:hanging="360"/>
      </w:pPr>
      <w:rPr>
        <w:rFonts w:ascii="Times New Roman" w:hAnsi="Times New Roman" w:hint="default"/>
      </w:rPr>
    </w:lvl>
    <w:lvl w:ilvl="1" w:tplc="3640B5FA" w:tentative="1">
      <w:start w:val="1"/>
      <w:numFmt w:val="bullet"/>
      <w:lvlText w:val="•"/>
      <w:lvlJc w:val="left"/>
      <w:pPr>
        <w:tabs>
          <w:tab w:val="num" w:pos="1440"/>
        </w:tabs>
        <w:ind w:left="1440" w:hanging="360"/>
      </w:pPr>
      <w:rPr>
        <w:rFonts w:ascii="Times New Roman" w:hAnsi="Times New Roman" w:hint="default"/>
      </w:rPr>
    </w:lvl>
    <w:lvl w:ilvl="2" w:tplc="CBD4307E" w:tentative="1">
      <w:start w:val="1"/>
      <w:numFmt w:val="bullet"/>
      <w:lvlText w:val="•"/>
      <w:lvlJc w:val="left"/>
      <w:pPr>
        <w:tabs>
          <w:tab w:val="num" w:pos="2160"/>
        </w:tabs>
        <w:ind w:left="2160" w:hanging="360"/>
      </w:pPr>
      <w:rPr>
        <w:rFonts w:ascii="Times New Roman" w:hAnsi="Times New Roman" w:hint="default"/>
      </w:rPr>
    </w:lvl>
    <w:lvl w:ilvl="3" w:tplc="C9F09984" w:tentative="1">
      <w:start w:val="1"/>
      <w:numFmt w:val="bullet"/>
      <w:lvlText w:val="•"/>
      <w:lvlJc w:val="left"/>
      <w:pPr>
        <w:tabs>
          <w:tab w:val="num" w:pos="2880"/>
        </w:tabs>
        <w:ind w:left="2880" w:hanging="360"/>
      </w:pPr>
      <w:rPr>
        <w:rFonts w:ascii="Times New Roman" w:hAnsi="Times New Roman" w:hint="default"/>
      </w:rPr>
    </w:lvl>
    <w:lvl w:ilvl="4" w:tplc="FE64080C" w:tentative="1">
      <w:start w:val="1"/>
      <w:numFmt w:val="bullet"/>
      <w:lvlText w:val="•"/>
      <w:lvlJc w:val="left"/>
      <w:pPr>
        <w:tabs>
          <w:tab w:val="num" w:pos="3600"/>
        </w:tabs>
        <w:ind w:left="3600" w:hanging="360"/>
      </w:pPr>
      <w:rPr>
        <w:rFonts w:ascii="Times New Roman" w:hAnsi="Times New Roman" w:hint="default"/>
      </w:rPr>
    </w:lvl>
    <w:lvl w:ilvl="5" w:tplc="286866E2" w:tentative="1">
      <w:start w:val="1"/>
      <w:numFmt w:val="bullet"/>
      <w:lvlText w:val="•"/>
      <w:lvlJc w:val="left"/>
      <w:pPr>
        <w:tabs>
          <w:tab w:val="num" w:pos="4320"/>
        </w:tabs>
        <w:ind w:left="4320" w:hanging="360"/>
      </w:pPr>
      <w:rPr>
        <w:rFonts w:ascii="Times New Roman" w:hAnsi="Times New Roman" w:hint="default"/>
      </w:rPr>
    </w:lvl>
    <w:lvl w:ilvl="6" w:tplc="8384DC40" w:tentative="1">
      <w:start w:val="1"/>
      <w:numFmt w:val="bullet"/>
      <w:lvlText w:val="•"/>
      <w:lvlJc w:val="left"/>
      <w:pPr>
        <w:tabs>
          <w:tab w:val="num" w:pos="5040"/>
        </w:tabs>
        <w:ind w:left="5040" w:hanging="360"/>
      </w:pPr>
      <w:rPr>
        <w:rFonts w:ascii="Times New Roman" w:hAnsi="Times New Roman" w:hint="default"/>
      </w:rPr>
    </w:lvl>
    <w:lvl w:ilvl="7" w:tplc="1A4AD6E8" w:tentative="1">
      <w:start w:val="1"/>
      <w:numFmt w:val="bullet"/>
      <w:lvlText w:val="•"/>
      <w:lvlJc w:val="left"/>
      <w:pPr>
        <w:tabs>
          <w:tab w:val="num" w:pos="5760"/>
        </w:tabs>
        <w:ind w:left="5760" w:hanging="360"/>
      </w:pPr>
      <w:rPr>
        <w:rFonts w:ascii="Times New Roman" w:hAnsi="Times New Roman" w:hint="default"/>
      </w:rPr>
    </w:lvl>
    <w:lvl w:ilvl="8" w:tplc="FF587D9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CD31728"/>
    <w:multiLevelType w:val="hybridMultilevel"/>
    <w:tmpl w:val="1682CF7C"/>
    <w:lvl w:ilvl="0" w:tplc="47FE680E">
      <w:start w:val="1"/>
      <w:numFmt w:val="bullet"/>
      <w:lvlText w:val="•"/>
      <w:lvlJc w:val="left"/>
      <w:pPr>
        <w:tabs>
          <w:tab w:val="num" w:pos="720"/>
        </w:tabs>
        <w:ind w:left="720" w:hanging="360"/>
      </w:pPr>
      <w:rPr>
        <w:rFonts w:ascii="Times New Roman" w:hAnsi="Times New Roman" w:hint="default"/>
      </w:rPr>
    </w:lvl>
    <w:lvl w:ilvl="1" w:tplc="68226314" w:tentative="1">
      <w:start w:val="1"/>
      <w:numFmt w:val="bullet"/>
      <w:lvlText w:val="•"/>
      <w:lvlJc w:val="left"/>
      <w:pPr>
        <w:tabs>
          <w:tab w:val="num" w:pos="1440"/>
        </w:tabs>
        <w:ind w:left="1440" w:hanging="360"/>
      </w:pPr>
      <w:rPr>
        <w:rFonts w:ascii="Times New Roman" w:hAnsi="Times New Roman" w:hint="default"/>
      </w:rPr>
    </w:lvl>
    <w:lvl w:ilvl="2" w:tplc="80E09616" w:tentative="1">
      <w:start w:val="1"/>
      <w:numFmt w:val="bullet"/>
      <w:lvlText w:val="•"/>
      <w:lvlJc w:val="left"/>
      <w:pPr>
        <w:tabs>
          <w:tab w:val="num" w:pos="2160"/>
        </w:tabs>
        <w:ind w:left="2160" w:hanging="360"/>
      </w:pPr>
      <w:rPr>
        <w:rFonts w:ascii="Times New Roman" w:hAnsi="Times New Roman" w:hint="default"/>
      </w:rPr>
    </w:lvl>
    <w:lvl w:ilvl="3" w:tplc="39DE7A6A" w:tentative="1">
      <w:start w:val="1"/>
      <w:numFmt w:val="bullet"/>
      <w:lvlText w:val="•"/>
      <w:lvlJc w:val="left"/>
      <w:pPr>
        <w:tabs>
          <w:tab w:val="num" w:pos="2880"/>
        </w:tabs>
        <w:ind w:left="2880" w:hanging="360"/>
      </w:pPr>
      <w:rPr>
        <w:rFonts w:ascii="Times New Roman" w:hAnsi="Times New Roman" w:hint="default"/>
      </w:rPr>
    </w:lvl>
    <w:lvl w:ilvl="4" w:tplc="B352D4BE" w:tentative="1">
      <w:start w:val="1"/>
      <w:numFmt w:val="bullet"/>
      <w:lvlText w:val="•"/>
      <w:lvlJc w:val="left"/>
      <w:pPr>
        <w:tabs>
          <w:tab w:val="num" w:pos="3600"/>
        </w:tabs>
        <w:ind w:left="3600" w:hanging="360"/>
      </w:pPr>
      <w:rPr>
        <w:rFonts w:ascii="Times New Roman" w:hAnsi="Times New Roman" w:hint="default"/>
      </w:rPr>
    </w:lvl>
    <w:lvl w:ilvl="5" w:tplc="27F8B69E" w:tentative="1">
      <w:start w:val="1"/>
      <w:numFmt w:val="bullet"/>
      <w:lvlText w:val="•"/>
      <w:lvlJc w:val="left"/>
      <w:pPr>
        <w:tabs>
          <w:tab w:val="num" w:pos="4320"/>
        </w:tabs>
        <w:ind w:left="4320" w:hanging="360"/>
      </w:pPr>
      <w:rPr>
        <w:rFonts w:ascii="Times New Roman" w:hAnsi="Times New Roman" w:hint="default"/>
      </w:rPr>
    </w:lvl>
    <w:lvl w:ilvl="6" w:tplc="468CE05C" w:tentative="1">
      <w:start w:val="1"/>
      <w:numFmt w:val="bullet"/>
      <w:lvlText w:val="•"/>
      <w:lvlJc w:val="left"/>
      <w:pPr>
        <w:tabs>
          <w:tab w:val="num" w:pos="5040"/>
        </w:tabs>
        <w:ind w:left="5040" w:hanging="360"/>
      </w:pPr>
      <w:rPr>
        <w:rFonts w:ascii="Times New Roman" w:hAnsi="Times New Roman" w:hint="default"/>
      </w:rPr>
    </w:lvl>
    <w:lvl w:ilvl="7" w:tplc="E938CC18" w:tentative="1">
      <w:start w:val="1"/>
      <w:numFmt w:val="bullet"/>
      <w:lvlText w:val="•"/>
      <w:lvlJc w:val="left"/>
      <w:pPr>
        <w:tabs>
          <w:tab w:val="num" w:pos="5760"/>
        </w:tabs>
        <w:ind w:left="5760" w:hanging="360"/>
      </w:pPr>
      <w:rPr>
        <w:rFonts w:ascii="Times New Roman" w:hAnsi="Times New Roman" w:hint="default"/>
      </w:rPr>
    </w:lvl>
    <w:lvl w:ilvl="8" w:tplc="6052B64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EC3131"/>
    <w:multiLevelType w:val="hybridMultilevel"/>
    <w:tmpl w:val="BEFEC0E6"/>
    <w:lvl w:ilvl="0" w:tplc="DD28DE3E">
      <w:start w:val="1"/>
      <w:numFmt w:val="bullet"/>
      <w:lvlText w:val=""/>
      <w:lvlJc w:val="left"/>
      <w:pPr>
        <w:tabs>
          <w:tab w:val="num" w:pos="720"/>
        </w:tabs>
        <w:ind w:left="720" w:hanging="360"/>
      </w:pPr>
      <w:rPr>
        <w:rFonts w:ascii="Wingdings" w:hAnsi="Wingdings" w:hint="default"/>
      </w:rPr>
    </w:lvl>
    <w:lvl w:ilvl="1" w:tplc="9C54E676" w:tentative="1">
      <w:start w:val="1"/>
      <w:numFmt w:val="bullet"/>
      <w:lvlText w:val=""/>
      <w:lvlJc w:val="left"/>
      <w:pPr>
        <w:tabs>
          <w:tab w:val="num" w:pos="1440"/>
        </w:tabs>
        <w:ind w:left="1440" w:hanging="360"/>
      </w:pPr>
      <w:rPr>
        <w:rFonts w:ascii="Wingdings" w:hAnsi="Wingdings" w:hint="default"/>
      </w:rPr>
    </w:lvl>
    <w:lvl w:ilvl="2" w:tplc="E99EE486" w:tentative="1">
      <w:start w:val="1"/>
      <w:numFmt w:val="bullet"/>
      <w:lvlText w:val=""/>
      <w:lvlJc w:val="left"/>
      <w:pPr>
        <w:tabs>
          <w:tab w:val="num" w:pos="2160"/>
        </w:tabs>
        <w:ind w:left="2160" w:hanging="360"/>
      </w:pPr>
      <w:rPr>
        <w:rFonts w:ascii="Wingdings" w:hAnsi="Wingdings" w:hint="default"/>
      </w:rPr>
    </w:lvl>
    <w:lvl w:ilvl="3" w:tplc="7CE6DFC8" w:tentative="1">
      <w:start w:val="1"/>
      <w:numFmt w:val="bullet"/>
      <w:lvlText w:val=""/>
      <w:lvlJc w:val="left"/>
      <w:pPr>
        <w:tabs>
          <w:tab w:val="num" w:pos="2880"/>
        </w:tabs>
        <w:ind w:left="2880" w:hanging="360"/>
      </w:pPr>
      <w:rPr>
        <w:rFonts w:ascii="Wingdings" w:hAnsi="Wingdings" w:hint="default"/>
      </w:rPr>
    </w:lvl>
    <w:lvl w:ilvl="4" w:tplc="B364A030" w:tentative="1">
      <w:start w:val="1"/>
      <w:numFmt w:val="bullet"/>
      <w:lvlText w:val=""/>
      <w:lvlJc w:val="left"/>
      <w:pPr>
        <w:tabs>
          <w:tab w:val="num" w:pos="3600"/>
        </w:tabs>
        <w:ind w:left="3600" w:hanging="360"/>
      </w:pPr>
      <w:rPr>
        <w:rFonts w:ascii="Wingdings" w:hAnsi="Wingdings" w:hint="default"/>
      </w:rPr>
    </w:lvl>
    <w:lvl w:ilvl="5" w:tplc="D32CCCEC" w:tentative="1">
      <w:start w:val="1"/>
      <w:numFmt w:val="bullet"/>
      <w:lvlText w:val=""/>
      <w:lvlJc w:val="left"/>
      <w:pPr>
        <w:tabs>
          <w:tab w:val="num" w:pos="4320"/>
        </w:tabs>
        <w:ind w:left="4320" w:hanging="360"/>
      </w:pPr>
      <w:rPr>
        <w:rFonts w:ascii="Wingdings" w:hAnsi="Wingdings" w:hint="default"/>
      </w:rPr>
    </w:lvl>
    <w:lvl w:ilvl="6" w:tplc="082830A2" w:tentative="1">
      <w:start w:val="1"/>
      <w:numFmt w:val="bullet"/>
      <w:lvlText w:val=""/>
      <w:lvlJc w:val="left"/>
      <w:pPr>
        <w:tabs>
          <w:tab w:val="num" w:pos="5040"/>
        </w:tabs>
        <w:ind w:left="5040" w:hanging="360"/>
      </w:pPr>
      <w:rPr>
        <w:rFonts w:ascii="Wingdings" w:hAnsi="Wingdings" w:hint="default"/>
      </w:rPr>
    </w:lvl>
    <w:lvl w:ilvl="7" w:tplc="0C7AE286" w:tentative="1">
      <w:start w:val="1"/>
      <w:numFmt w:val="bullet"/>
      <w:lvlText w:val=""/>
      <w:lvlJc w:val="left"/>
      <w:pPr>
        <w:tabs>
          <w:tab w:val="num" w:pos="5760"/>
        </w:tabs>
        <w:ind w:left="5760" w:hanging="360"/>
      </w:pPr>
      <w:rPr>
        <w:rFonts w:ascii="Wingdings" w:hAnsi="Wingdings" w:hint="default"/>
      </w:rPr>
    </w:lvl>
    <w:lvl w:ilvl="8" w:tplc="D148787C" w:tentative="1">
      <w:start w:val="1"/>
      <w:numFmt w:val="bullet"/>
      <w:lvlText w:val=""/>
      <w:lvlJc w:val="left"/>
      <w:pPr>
        <w:tabs>
          <w:tab w:val="num" w:pos="6480"/>
        </w:tabs>
        <w:ind w:left="6480" w:hanging="360"/>
      </w:pPr>
      <w:rPr>
        <w:rFonts w:ascii="Wingdings" w:hAnsi="Wingdings" w:hint="default"/>
      </w:rPr>
    </w:lvl>
  </w:abstractNum>
  <w:abstractNum w:abstractNumId="21">
    <w:nsid w:val="78EF3B42"/>
    <w:multiLevelType w:val="hybridMultilevel"/>
    <w:tmpl w:val="40ECF70A"/>
    <w:lvl w:ilvl="0" w:tplc="F672015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9353FD0"/>
    <w:multiLevelType w:val="hybridMultilevel"/>
    <w:tmpl w:val="964C5912"/>
    <w:lvl w:ilvl="0" w:tplc="F672015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5"/>
  </w:num>
  <w:num w:numId="5">
    <w:abstractNumId w:val="6"/>
  </w:num>
  <w:num w:numId="6">
    <w:abstractNumId w:val="8"/>
  </w:num>
  <w:num w:numId="7">
    <w:abstractNumId w:val="18"/>
  </w:num>
  <w:num w:numId="8">
    <w:abstractNumId w:val="3"/>
  </w:num>
  <w:num w:numId="9">
    <w:abstractNumId w:val="17"/>
  </w:num>
  <w:num w:numId="10">
    <w:abstractNumId w:val="19"/>
  </w:num>
  <w:num w:numId="11">
    <w:abstractNumId w:val="20"/>
  </w:num>
  <w:num w:numId="12">
    <w:abstractNumId w:val="10"/>
  </w:num>
  <w:num w:numId="13">
    <w:abstractNumId w:val="2"/>
  </w:num>
  <w:num w:numId="14">
    <w:abstractNumId w:val="14"/>
  </w:num>
  <w:num w:numId="15">
    <w:abstractNumId w:val="15"/>
  </w:num>
  <w:num w:numId="16">
    <w:abstractNumId w:val="16"/>
  </w:num>
  <w:num w:numId="17">
    <w:abstractNumId w:val="0"/>
  </w:num>
  <w:num w:numId="18">
    <w:abstractNumId w:val="4"/>
  </w:num>
  <w:num w:numId="19">
    <w:abstractNumId w:val="13"/>
  </w:num>
  <w:num w:numId="20">
    <w:abstractNumId w:val="21"/>
  </w:num>
  <w:num w:numId="21">
    <w:abstractNumId w:val="9"/>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DF"/>
    <w:rsid w:val="000011A7"/>
    <w:rsid w:val="00001C37"/>
    <w:rsid w:val="000032CF"/>
    <w:rsid w:val="00004382"/>
    <w:rsid w:val="00004B8F"/>
    <w:rsid w:val="0000594D"/>
    <w:rsid w:val="000059AC"/>
    <w:rsid w:val="00005DCA"/>
    <w:rsid w:val="00006D24"/>
    <w:rsid w:val="00011F74"/>
    <w:rsid w:val="00015DC6"/>
    <w:rsid w:val="00020CE0"/>
    <w:rsid w:val="00021E0C"/>
    <w:rsid w:val="00022197"/>
    <w:rsid w:val="0002321F"/>
    <w:rsid w:val="00024B85"/>
    <w:rsid w:val="0002551A"/>
    <w:rsid w:val="000259D4"/>
    <w:rsid w:val="000278CF"/>
    <w:rsid w:val="0003002A"/>
    <w:rsid w:val="000305F2"/>
    <w:rsid w:val="00031835"/>
    <w:rsid w:val="00031E5A"/>
    <w:rsid w:val="00032C99"/>
    <w:rsid w:val="00032FBF"/>
    <w:rsid w:val="00033D63"/>
    <w:rsid w:val="00034CC3"/>
    <w:rsid w:val="000370A9"/>
    <w:rsid w:val="0004120D"/>
    <w:rsid w:val="000445E2"/>
    <w:rsid w:val="000463F7"/>
    <w:rsid w:val="00046765"/>
    <w:rsid w:val="00050BEE"/>
    <w:rsid w:val="00050DA0"/>
    <w:rsid w:val="0005252A"/>
    <w:rsid w:val="0006000E"/>
    <w:rsid w:val="000601DB"/>
    <w:rsid w:val="00061AB1"/>
    <w:rsid w:val="00061BE5"/>
    <w:rsid w:val="00063096"/>
    <w:rsid w:val="00063DD6"/>
    <w:rsid w:val="0006577C"/>
    <w:rsid w:val="00067586"/>
    <w:rsid w:val="0006776F"/>
    <w:rsid w:val="00071922"/>
    <w:rsid w:val="0007418F"/>
    <w:rsid w:val="000753BC"/>
    <w:rsid w:val="00075ACB"/>
    <w:rsid w:val="00075DBF"/>
    <w:rsid w:val="00077A58"/>
    <w:rsid w:val="00081186"/>
    <w:rsid w:val="000811AE"/>
    <w:rsid w:val="00081CCD"/>
    <w:rsid w:val="00083580"/>
    <w:rsid w:val="00085D08"/>
    <w:rsid w:val="00086B44"/>
    <w:rsid w:val="0008765B"/>
    <w:rsid w:val="000879F2"/>
    <w:rsid w:val="000908AB"/>
    <w:rsid w:val="0009324A"/>
    <w:rsid w:val="000936F4"/>
    <w:rsid w:val="000937FD"/>
    <w:rsid w:val="00093E05"/>
    <w:rsid w:val="00093E66"/>
    <w:rsid w:val="0009420C"/>
    <w:rsid w:val="00095DF9"/>
    <w:rsid w:val="0009603C"/>
    <w:rsid w:val="000967DD"/>
    <w:rsid w:val="00097274"/>
    <w:rsid w:val="000A0291"/>
    <w:rsid w:val="000A2627"/>
    <w:rsid w:val="000A4894"/>
    <w:rsid w:val="000A4F94"/>
    <w:rsid w:val="000A70E6"/>
    <w:rsid w:val="000B01DA"/>
    <w:rsid w:val="000B34A0"/>
    <w:rsid w:val="000B4601"/>
    <w:rsid w:val="000B5928"/>
    <w:rsid w:val="000B6BA1"/>
    <w:rsid w:val="000C0B54"/>
    <w:rsid w:val="000C0D0C"/>
    <w:rsid w:val="000C1903"/>
    <w:rsid w:val="000C1C7E"/>
    <w:rsid w:val="000C1F53"/>
    <w:rsid w:val="000C2C6E"/>
    <w:rsid w:val="000C2D9B"/>
    <w:rsid w:val="000C3218"/>
    <w:rsid w:val="000C58F6"/>
    <w:rsid w:val="000C6167"/>
    <w:rsid w:val="000C6FD5"/>
    <w:rsid w:val="000C7475"/>
    <w:rsid w:val="000D3587"/>
    <w:rsid w:val="000D471E"/>
    <w:rsid w:val="000D6B38"/>
    <w:rsid w:val="000E02E7"/>
    <w:rsid w:val="000E1602"/>
    <w:rsid w:val="000E2381"/>
    <w:rsid w:val="000E31DB"/>
    <w:rsid w:val="000E35C0"/>
    <w:rsid w:val="000E4B10"/>
    <w:rsid w:val="000E509C"/>
    <w:rsid w:val="000E51E4"/>
    <w:rsid w:val="000F2296"/>
    <w:rsid w:val="000F4EEE"/>
    <w:rsid w:val="000F5A8D"/>
    <w:rsid w:val="000F5CEC"/>
    <w:rsid w:val="000F7A76"/>
    <w:rsid w:val="00101F06"/>
    <w:rsid w:val="00103A86"/>
    <w:rsid w:val="00103AB5"/>
    <w:rsid w:val="001057A3"/>
    <w:rsid w:val="0010596C"/>
    <w:rsid w:val="00106D99"/>
    <w:rsid w:val="00111013"/>
    <w:rsid w:val="0011286C"/>
    <w:rsid w:val="00112CE3"/>
    <w:rsid w:val="00122327"/>
    <w:rsid w:val="00122E2E"/>
    <w:rsid w:val="0012491B"/>
    <w:rsid w:val="00125017"/>
    <w:rsid w:val="00125443"/>
    <w:rsid w:val="00131823"/>
    <w:rsid w:val="00136B7D"/>
    <w:rsid w:val="00136CB6"/>
    <w:rsid w:val="001442CF"/>
    <w:rsid w:val="001447FF"/>
    <w:rsid w:val="001450BA"/>
    <w:rsid w:val="00147144"/>
    <w:rsid w:val="001471EC"/>
    <w:rsid w:val="00150A4B"/>
    <w:rsid w:val="001514D2"/>
    <w:rsid w:val="00151DB2"/>
    <w:rsid w:val="00152005"/>
    <w:rsid w:val="00153528"/>
    <w:rsid w:val="001538ED"/>
    <w:rsid w:val="00154601"/>
    <w:rsid w:val="00155926"/>
    <w:rsid w:val="00157407"/>
    <w:rsid w:val="001574B3"/>
    <w:rsid w:val="0016118B"/>
    <w:rsid w:val="00161F83"/>
    <w:rsid w:val="001636FB"/>
    <w:rsid w:val="00165874"/>
    <w:rsid w:val="00166097"/>
    <w:rsid w:val="00167128"/>
    <w:rsid w:val="00167EDA"/>
    <w:rsid w:val="00172985"/>
    <w:rsid w:val="00172BAC"/>
    <w:rsid w:val="0018089A"/>
    <w:rsid w:val="00180DAB"/>
    <w:rsid w:val="001828AC"/>
    <w:rsid w:val="001835B2"/>
    <w:rsid w:val="00191F07"/>
    <w:rsid w:val="00194709"/>
    <w:rsid w:val="00195E9D"/>
    <w:rsid w:val="001A100A"/>
    <w:rsid w:val="001A3625"/>
    <w:rsid w:val="001A3896"/>
    <w:rsid w:val="001A3B73"/>
    <w:rsid w:val="001A421F"/>
    <w:rsid w:val="001A5AA7"/>
    <w:rsid w:val="001A794A"/>
    <w:rsid w:val="001B0C6F"/>
    <w:rsid w:val="001B38FD"/>
    <w:rsid w:val="001B7295"/>
    <w:rsid w:val="001B7576"/>
    <w:rsid w:val="001C04BB"/>
    <w:rsid w:val="001C2CFD"/>
    <w:rsid w:val="001C42E9"/>
    <w:rsid w:val="001C6255"/>
    <w:rsid w:val="001C74EA"/>
    <w:rsid w:val="001C7B29"/>
    <w:rsid w:val="001D051F"/>
    <w:rsid w:val="001D05D0"/>
    <w:rsid w:val="001D13FD"/>
    <w:rsid w:val="001D2E7D"/>
    <w:rsid w:val="001D7D3E"/>
    <w:rsid w:val="001E228E"/>
    <w:rsid w:val="001E73D9"/>
    <w:rsid w:val="001F16BE"/>
    <w:rsid w:val="001F2AB3"/>
    <w:rsid w:val="001F4A5C"/>
    <w:rsid w:val="001F4C7F"/>
    <w:rsid w:val="001F5F13"/>
    <w:rsid w:val="0020333F"/>
    <w:rsid w:val="00203C7D"/>
    <w:rsid w:val="00206936"/>
    <w:rsid w:val="00207DB5"/>
    <w:rsid w:val="00211742"/>
    <w:rsid w:val="00211C89"/>
    <w:rsid w:val="00212541"/>
    <w:rsid w:val="0021772C"/>
    <w:rsid w:val="00217832"/>
    <w:rsid w:val="0022175F"/>
    <w:rsid w:val="00222299"/>
    <w:rsid w:val="002224FB"/>
    <w:rsid w:val="00224A0A"/>
    <w:rsid w:val="00225997"/>
    <w:rsid w:val="00230002"/>
    <w:rsid w:val="00230DCA"/>
    <w:rsid w:val="0023180D"/>
    <w:rsid w:val="00232A50"/>
    <w:rsid w:val="0023445A"/>
    <w:rsid w:val="00237497"/>
    <w:rsid w:val="0024522A"/>
    <w:rsid w:val="0024544F"/>
    <w:rsid w:val="00245C28"/>
    <w:rsid w:val="002503E1"/>
    <w:rsid w:val="00251274"/>
    <w:rsid w:val="00254778"/>
    <w:rsid w:val="0025486A"/>
    <w:rsid w:val="00254A3B"/>
    <w:rsid w:val="0025628B"/>
    <w:rsid w:val="00260664"/>
    <w:rsid w:val="00260B58"/>
    <w:rsid w:val="00260E00"/>
    <w:rsid w:val="00261591"/>
    <w:rsid w:val="00261CF1"/>
    <w:rsid w:val="002659B2"/>
    <w:rsid w:val="00266803"/>
    <w:rsid w:val="002749B5"/>
    <w:rsid w:val="002754BE"/>
    <w:rsid w:val="002755B6"/>
    <w:rsid w:val="00275616"/>
    <w:rsid w:val="00276405"/>
    <w:rsid w:val="00285C69"/>
    <w:rsid w:val="00290664"/>
    <w:rsid w:val="002910A9"/>
    <w:rsid w:val="002918BD"/>
    <w:rsid w:val="00295A20"/>
    <w:rsid w:val="00295C0D"/>
    <w:rsid w:val="0029648F"/>
    <w:rsid w:val="0029736E"/>
    <w:rsid w:val="002A1921"/>
    <w:rsid w:val="002A3055"/>
    <w:rsid w:val="002A3392"/>
    <w:rsid w:val="002A395D"/>
    <w:rsid w:val="002A411A"/>
    <w:rsid w:val="002A436F"/>
    <w:rsid w:val="002A5130"/>
    <w:rsid w:val="002A522A"/>
    <w:rsid w:val="002A6850"/>
    <w:rsid w:val="002B1970"/>
    <w:rsid w:val="002B197B"/>
    <w:rsid w:val="002C20BB"/>
    <w:rsid w:val="002C21F3"/>
    <w:rsid w:val="002C3712"/>
    <w:rsid w:val="002C3ED8"/>
    <w:rsid w:val="002C7DDB"/>
    <w:rsid w:val="002D0DE5"/>
    <w:rsid w:val="002D130A"/>
    <w:rsid w:val="002D2756"/>
    <w:rsid w:val="002D3980"/>
    <w:rsid w:val="002D3AFC"/>
    <w:rsid w:val="002D5069"/>
    <w:rsid w:val="002D7A9D"/>
    <w:rsid w:val="002E2194"/>
    <w:rsid w:val="002E37C4"/>
    <w:rsid w:val="002E6204"/>
    <w:rsid w:val="002E6743"/>
    <w:rsid w:val="002E729A"/>
    <w:rsid w:val="002F34E9"/>
    <w:rsid w:val="002F4CD8"/>
    <w:rsid w:val="003006EF"/>
    <w:rsid w:val="0030136D"/>
    <w:rsid w:val="003014E8"/>
    <w:rsid w:val="00305753"/>
    <w:rsid w:val="00305757"/>
    <w:rsid w:val="00306747"/>
    <w:rsid w:val="00312173"/>
    <w:rsid w:val="003163D5"/>
    <w:rsid w:val="00326ED8"/>
    <w:rsid w:val="00330FE3"/>
    <w:rsid w:val="003323C1"/>
    <w:rsid w:val="003330C4"/>
    <w:rsid w:val="0033513E"/>
    <w:rsid w:val="00335F58"/>
    <w:rsid w:val="00335FF8"/>
    <w:rsid w:val="00336F28"/>
    <w:rsid w:val="0033715A"/>
    <w:rsid w:val="00340088"/>
    <w:rsid w:val="00340F3E"/>
    <w:rsid w:val="0034308C"/>
    <w:rsid w:val="00345E90"/>
    <w:rsid w:val="0034679A"/>
    <w:rsid w:val="00350863"/>
    <w:rsid w:val="00352BD4"/>
    <w:rsid w:val="003570CA"/>
    <w:rsid w:val="003578A3"/>
    <w:rsid w:val="0036173B"/>
    <w:rsid w:val="0036213D"/>
    <w:rsid w:val="00362919"/>
    <w:rsid w:val="00363D8B"/>
    <w:rsid w:val="003662A0"/>
    <w:rsid w:val="00367C26"/>
    <w:rsid w:val="00370D0D"/>
    <w:rsid w:val="00372DF9"/>
    <w:rsid w:val="00373ED0"/>
    <w:rsid w:val="003745B7"/>
    <w:rsid w:val="003757FE"/>
    <w:rsid w:val="00377C1C"/>
    <w:rsid w:val="00380952"/>
    <w:rsid w:val="00380F02"/>
    <w:rsid w:val="00383261"/>
    <w:rsid w:val="003837C0"/>
    <w:rsid w:val="00385CA9"/>
    <w:rsid w:val="00386A43"/>
    <w:rsid w:val="00390D39"/>
    <w:rsid w:val="00390DC0"/>
    <w:rsid w:val="0039275A"/>
    <w:rsid w:val="0039426B"/>
    <w:rsid w:val="003A387A"/>
    <w:rsid w:val="003A5525"/>
    <w:rsid w:val="003A56FF"/>
    <w:rsid w:val="003A6266"/>
    <w:rsid w:val="003B13E1"/>
    <w:rsid w:val="003B19BC"/>
    <w:rsid w:val="003B1F64"/>
    <w:rsid w:val="003B339D"/>
    <w:rsid w:val="003B386B"/>
    <w:rsid w:val="003B4419"/>
    <w:rsid w:val="003B5786"/>
    <w:rsid w:val="003B622B"/>
    <w:rsid w:val="003B7722"/>
    <w:rsid w:val="003C70ED"/>
    <w:rsid w:val="003C72C4"/>
    <w:rsid w:val="003D0D61"/>
    <w:rsid w:val="003D1BCF"/>
    <w:rsid w:val="003D478A"/>
    <w:rsid w:val="003D63AC"/>
    <w:rsid w:val="003D68BD"/>
    <w:rsid w:val="003E2E7F"/>
    <w:rsid w:val="003E5C60"/>
    <w:rsid w:val="003E7E27"/>
    <w:rsid w:val="003F1945"/>
    <w:rsid w:val="003F1DF5"/>
    <w:rsid w:val="003F272F"/>
    <w:rsid w:val="003F3E6D"/>
    <w:rsid w:val="003F54DC"/>
    <w:rsid w:val="003F5C3C"/>
    <w:rsid w:val="003F60E2"/>
    <w:rsid w:val="003F6571"/>
    <w:rsid w:val="003F6D0B"/>
    <w:rsid w:val="00400B5C"/>
    <w:rsid w:val="004017C3"/>
    <w:rsid w:val="0040486F"/>
    <w:rsid w:val="004102AE"/>
    <w:rsid w:val="004105D3"/>
    <w:rsid w:val="00412035"/>
    <w:rsid w:val="004127D7"/>
    <w:rsid w:val="00414B9F"/>
    <w:rsid w:val="00416474"/>
    <w:rsid w:val="00416F67"/>
    <w:rsid w:val="00420C40"/>
    <w:rsid w:val="00421689"/>
    <w:rsid w:val="0042259E"/>
    <w:rsid w:val="00423136"/>
    <w:rsid w:val="00424298"/>
    <w:rsid w:val="004247CC"/>
    <w:rsid w:val="00427CE0"/>
    <w:rsid w:val="00430A11"/>
    <w:rsid w:val="00430E8D"/>
    <w:rsid w:val="004322BD"/>
    <w:rsid w:val="004331D5"/>
    <w:rsid w:val="0043620B"/>
    <w:rsid w:val="00437F86"/>
    <w:rsid w:val="00441B54"/>
    <w:rsid w:val="00442F96"/>
    <w:rsid w:val="004434AA"/>
    <w:rsid w:val="004505A8"/>
    <w:rsid w:val="004506A2"/>
    <w:rsid w:val="00454B5F"/>
    <w:rsid w:val="00455529"/>
    <w:rsid w:val="00456A62"/>
    <w:rsid w:val="00460D62"/>
    <w:rsid w:val="0046177E"/>
    <w:rsid w:val="00462089"/>
    <w:rsid w:val="00463568"/>
    <w:rsid w:val="004654B5"/>
    <w:rsid w:val="00466055"/>
    <w:rsid w:val="00470F99"/>
    <w:rsid w:val="00471727"/>
    <w:rsid w:val="004724A9"/>
    <w:rsid w:val="00473AB2"/>
    <w:rsid w:val="00477332"/>
    <w:rsid w:val="00477356"/>
    <w:rsid w:val="004774B6"/>
    <w:rsid w:val="00477DA6"/>
    <w:rsid w:val="004801BE"/>
    <w:rsid w:val="00480730"/>
    <w:rsid w:val="00480EDA"/>
    <w:rsid w:val="00481874"/>
    <w:rsid w:val="00482B3B"/>
    <w:rsid w:val="00482B60"/>
    <w:rsid w:val="00485FDC"/>
    <w:rsid w:val="00486730"/>
    <w:rsid w:val="00486C4D"/>
    <w:rsid w:val="00494876"/>
    <w:rsid w:val="00497A10"/>
    <w:rsid w:val="00497A9E"/>
    <w:rsid w:val="004A0A64"/>
    <w:rsid w:val="004A1F60"/>
    <w:rsid w:val="004A33DD"/>
    <w:rsid w:val="004A3FB3"/>
    <w:rsid w:val="004A4178"/>
    <w:rsid w:val="004A4B10"/>
    <w:rsid w:val="004A555F"/>
    <w:rsid w:val="004A7C1A"/>
    <w:rsid w:val="004B1643"/>
    <w:rsid w:val="004B1C3D"/>
    <w:rsid w:val="004B1FC3"/>
    <w:rsid w:val="004B2791"/>
    <w:rsid w:val="004B4BF8"/>
    <w:rsid w:val="004B5590"/>
    <w:rsid w:val="004C02B9"/>
    <w:rsid w:val="004C1703"/>
    <w:rsid w:val="004C7609"/>
    <w:rsid w:val="004C7C41"/>
    <w:rsid w:val="004D05CD"/>
    <w:rsid w:val="004D3AC4"/>
    <w:rsid w:val="004D403E"/>
    <w:rsid w:val="004D4232"/>
    <w:rsid w:val="004D5CF1"/>
    <w:rsid w:val="004D787D"/>
    <w:rsid w:val="004D7B77"/>
    <w:rsid w:val="004E14E4"/>
    <w:rsid w:val="004E2606"/>
    <w:rsid w:val="004E396B"/>
    <w:rsid w:val="004E4338"/>
    <w:rsid w:val="004E5DFF"/>
    <w:rsid w:val="004E6E67"/>
    <w:rsid w:val="004E7CE0"/>
    <w:rsid w:val="004E7D5B"/>
    <w:rsid w:val="004E7FE8"/>
    <w:rsid w:val="004F1D3D"/>
    <w:rsid w:val="004F301A"/>
    <w:rsid w:val="004F3B96"/>
    <w:rsid w:val="004F44E5"/>
    <w:rsid w:val="004F4A02"/>
    <w:rsid w:val="004F5487"/>
    <w:rsid w:val="004F5921"/>
    <w:rsid w:val="004F712D"/>
    <w:rsid w:val="005018EA"/>
    <w:rsid w:val="00505221"/>
    <w:rsid w:val="0050684C"/>
    <w:rsid w:val="00506B8D"/>
    <w:rsid w:val="00507BB0"/>
    <w:rsid w:val="00507EA6"/>
    <w:rsid w:val="005122F3"/>
    <w:rsid w:val="005148BF"/>
    <w:rsid w:val="00516ECA"/>
    <w:rsid w:val="00525553"/>
    <w:rsid w:val="005256F8"/>
    <w:rsid w:val="0052593D"/>
    <w:rsid w:val="00525CA5"/>
    <w:rsid w:val="00531E64"/>
    <w:rsid w:val="005330C7"/>
    <w:rsid w:val="005346AE"/>
    <w:rsid w:val="00536AD5"/>
    <w:rsid w:val="00537C3F"/>
    <w:rsid w:val="00537E7E"/>
    <w:rsid w:val="00541E6B"/>
    <w:rsid w:val="0054289A"/>
    <w:rsid w:val="00546246"/>
    <w:rsid w:val="00551550"/>
    <w:rsid w:val="00551C6A"/>
    <w:rsid w:val="00551FB3"/>
    <w:rsid w:val="00552B31"/>
    <w:rsid w:val="00553889"/>
    <w:rsid w:val="00553BC6"/>
    <w:rsid w:val="00555027"/>
    <w:rsid w:val="0055654D"/>
    <w:rsid w:val="00556E57"/>
    <w:rsid w:val="005574AD"/>
    <w:rsid w:val="005579B8"/>
    <w:rsid w:val="00557A43"/>
    <w:rsid w:val="005603BB"/>
    <w:rsid w:val="00564AEE"/>
    <w:rsid w:val="00564F9F"/>
    <w:rsid w:val="00565B88"/>
    <w:rsid w:val="00567223"/>
    <w:rsid w:val="00572680"/>
    <w:rsid w:val="00574757"/>
    <w:rsid w:val="00574B76"/>
    <w:rsid w:val="00575870"/>
    <w:rsid w:val="00575D4D"/>
    <w:rsid w:val="005762DD"/>
    <w:rsid w:val="00577367"/>
    <w:rsid w:val="00584963"/>
    <w:rsid w:val="00585338"/>
    <w:rsid w:val="00586269"/>
    <w:rsid w:val="0058626F"/>
    <w:rsid w:val="00591106"/>
    <w:rsid w:val="00591B57"/>
    <w:rsid w:val="00592862"/>
    <w:rsid w:val="005953B8"/>
    <w:rsid w:val="00595DF2"/>
    <w:rsid w:val="0059643E"/>
    <w:rsid w:val="005976B8"/>
    <w:rsid w:val="005A0B40"/>
    <w:rsid w:val="005A168C"/>
    <w:rsid w:val="005A25E2"/>
    <w:rsid w:val="005A266D"/>
    <w:rsid w:val="005A5609"/>
    <w:rsid w:val="005A5C4B"/>
    <w:rsid w:val="005A6016"/>
    <w:rsid w:val="005A6CD3"/>
    <w:rsid w:val="005A781C"/>
    <w:rsid w:val="005B0140"/>
    <w:rsid w:val="005B05D6"/>
    <w:rsid w:val="005B1C8E"/>
    <w:rsid w:val="005B214D"/>
    <w:rsid w:val="005B2B21"/>
    <w:rsid w:val="005B3898"/>
    <w:rsid w:val="005B3EFF"/>
    <w:rsid w:val="005B44F3"/>
    <w:rsid w:val="005B6700"/>
    <w:rsid w:val="005C2713"/>
    <w:rsid w:val="005C3735"/>
    <w:rsid w:val="005C4052"/>
    <w:rsid w:val="005C409F"/>
    <w:rsid w:val="005C5589"/>
    <w:rsid w:val="005C7CE5"/>
    <w:rsid w:val="005D06FE"/>
    <w:rsid w:val="005D0E10"/>
    <w:rsid w:val="005D12F2"/>
    <w:rsid w:val="005D1D5E"/>
    <w:rsid w:val="005D2426"/>
    <w:rsid w:val="005D29B1"/>
    <w:rsid w:val="005D35A0"/>
    <w:rsid w:val="005D4558"/>
    <w:rsid w:val="005D58E4"/>
    <w:rsid w:val="005D5ABD"/>
    <w:rsid w:val="005D7F85"/>
    <w:rsid w:val="005E151C"/>
    <w:rsid w:val="005E2055"/>
    <w:rsid w:val="005E3E8E"/>
    <w:rsid w:val="005E5114"/>
    <w:rsid w:val="005F04CA"/>
    <w:rsid w:val="005F15D0"/>
    <w:rsid w:val="005F213D"/>
    <w:rsid w:val="005F2667"/>
    <w:rsid w:val="005F66FE"/>
    <w:rsid w:val="0060474C"/>
    <w:rsid w:val="00604C5F"/>
    <w:rsid w:val="00607397"/>
    <w:rsid w:val="00607C2D"/>
    <w:rsid w:val="00611335"/>
    <w:rsid w:val="00611613"/>
    <w:rsid w:val="006117B9"/>
    <w:rsid w:val="0061192F"/>
    <w:rsid w:val="00613233"/>
    <w:rsid w:val="00614B08"/>
    <w:rsid w:val="00614B29"/>
    <w:rsid w:val="00614E5B"/>
    <w:rsid w:val="00615431"/>
    <w:rsid w:val="0062193F"/>
    <w:rsid w:val="00622182"/>
    <w:rsid w:val="006240A8"/>
    <w:rsid w:val="0062478F"/>
    <w:rsid w:val="00624C34"/>
    <w:rsid w:val="0062500F"/>
    <w:rsid w:val="0062616B"/>
    <w:rsid w:val="006262B5"/>
    <w:rsid w:val="00627C07"/>
    <w:rsid w:val="00630977"/>
    <w:rsid w:val="00632D6B"/>
    <w:rsid w:val="0063456B"/>
    <w:rsid w:val="0063485E"/>
    <w:rsid w:val="006360B8"/>
    <w:rsid w:val="0063687C"/>
    <w:rsid w:val="00640452"/>
    <w:rsid w:val="00640A80"/>
    <w:rsid w:val="00641A2F"/>
    <w:rsid w:val="006426AA"/>
    <w:rsid w:val="00642D9E"/>
    <w:rsid w:val="00645506"/>
    <w:rsid w:val="00647886"/>
    <w:rsid w:val="00647F4A"/>
    <w:rsid w:val="00650E79"/>
    <w:rsid w:val="006512E4"/>
    <w:rsid w:val="006519EE"/>
    <w:rsid w:val="00652B19"/>
    <w:rsid w:val="00652CD7"/>
    <w:rsid w:val="00653C01"/>
    <w:rsid w:val="0065417E"/>
    <w:rsid w:val="00654CD1"/>
    <w:rsid w:val="00654F24"/>
    <w:rsid w:val="0065518C"/>
    <w:rsid w:val="00661190"/>
    <w:rsid w:val="006627DB"/>
    <w:rsid w:val="00665004"/>
    <w:rsid w:val="006666E6"/>
    <w:rsid w:val="00666EB4"/>
    <w:rsid w:val="0066712B"/>
    <w:rsid w:val="00667D87"/>
    <w:rsid w:val="006700E1"/>
    <w:rsid w:val="00671675"/>
    <w:rsid w:val="00673368"/>
    <w:rsid w:val="006772EF"/>
    <w:rsid w:val="006774D2"/>
    <w:rsid w:val="006775AB"/>
    <w:rsid w:val="00682012"/>
    <w:rsid w:val="006820F1"/>
    <w:rsid w:val="00682B26"/>
    <w:rsid w:val="00683217"/>
    <w:rsid w:val="00686DCE"/>
    <w:rsid w:val="00687560"/>
    <w:rsid w:val="00687966"/>
    <w:rsid w:val="006914FC"/>
    <w:rsid w:val="00693430"/>
    <w:rsid w:val="00693B87"/>
    <w:rsid w:val="0069507F"/>
    <w:rsid w:val="006954A3"/>
    <w:rsid w:val="00696A6F"/>
    <w:rsid w:val="006972CF"/>
    <w:rsid w:val="006A0114"/>
    <w:rsid w:val="006A0315"/>
    <w:rsid w:val="006A2F97"/>
    <w:rsid w:val="006A4559"/>
    <w:rsid w:val="006A6942"/>
    <w:rsid w:val="006A6D53"/>
    <w:rsid w:val="006A707E"/>
    <w:rsid w:val="006A7761"/>
    <w:rsid w:val="006B1A0F"/>
    <w:rsid w:val="006B349D"/>
    <w:rsid w:val="006B4250"/>
    <w:rsid w:val="006B47AB"/>
    <w:rsid w:val="006B49BA"/>
    <w:rsid w:val="006B6B40"/>
    <w:rsid w:val="006C1716"/>
    <w:rsid w:val="006C1F9C"/>
    <w:rsid w:val="006C31CE"/>
    <w:rsid w:val="006C513A"/>
    <w:rsid w:val="006C5339"/>
    <w:rsid w:val="006C6B87"/>
    <w:rsid w:val="006C7F38"/>
    <w:rsid w:val="006D052E"/>
    <w:rsid w:val="006D0623"/>
    <w:rsid w:val="006D0981"/>
    <w:rsid w:val="006D2484"/>
    <w:rsid w:val="006D2835"/>
    <w:rsid w:val="006D2CEF"/>
    <w:rsid w:val="006D455F"/>
    <w:rsid w:val="006D4FF6"/>
    <w:rsid w:val="006D5AB7"/>
    <w:rsid w:val="006D6920"/>
    <w:rsid w:val="006E2E9F"/>
    <w:rsid w:val="006E6098"/>
    <w:rsid w:val="006E6362"/>
    <w:rsid w:val="006F6C26"/>
    <w:rsid w:val="007007E5"/>
    <w:rsid w:val="00700D37"/>
    <w:rsid w:val="00700F36"/>
    <w:rsid w:val="007046DB"/>
    <w:rsid w:val="007061C7"/>
    <w:rsid w:val="00710059"/>
    <w:rsid w:val="00712084"/>
    <w:rsid w:val="007124A8"/>
    <w:rsid w:val="0071472E"/>
    <w:rsid w:val="007159EA"/>
    <w:rsid w:val="00715B51"/>
    <w:rsid w:val="007178F9"/>
    <w:rsid w:val="00721BE3"/>
    <w:rsid w:val="00722D11"/>
    <w:rsid w:val="0072311B"/>
    <w:rsid w:val="00725158"/>
    <w:rsid w:val="00727469"/>
    <w:rsid w:val="00730ED9"/>
    <w:rsid w:val="00731499"/>
    <w:rsid w:val="007345F2"/>
    <w:rsid w:val="00735AF8"/>
    <w:rsid w:val="00736644"/>
    <w:rsid w:val="00736ED1"/>
    <w:rsid w:val="00737D21"/>
    <w:rsid w:val="00737DCB"/>
    <w:rsid w:val="007406A6"/>
    <w:rsid w:val="007419B4"/>
    <w:rsid w:val="00742F2B"/>
    <w:rsid w:val="0074470B"/>
    <w:rsid w:val="00745565"/>
    <w:rsid w:val="00746D32"/>
    <w:rsid w:val="007526D0"/>
    <w:rsid w:val="00755393"/>
    <w:rsid w:val="00755D03"/>
    <w:rsid w:val="00756539"/>
    <w:rsid w:val="007575D8"/>
    <w:rsid w:val="00757953"/>
    <w:rsid w:val="00757B91"/>
    <w:rsid w:val="007605DA"/>
    <w:rsid w:val="0076210E"/>
    <w:rsid w:val="00762450"/>
    <w:rsid w:val="007624CE"/>
    <w:rsid w:val="00764C16"/>
    <w:rsid w:val="00765701"/>
    <w:rsid w:val="00765D66"/>
    <w:rsid w:val="00766D9A"/>
    <w:rsid w:val="00767790"/>
    <w:rsid w:val="00772054"/>
    <w:rsid w:val="00772D5D"/>
    <w:rsid w:val="00776E52"/>
    <w:rsid w:val="0078217B"/>
    <w:rsid w:val="007826A3"/>
    <w:rsid w:val="00783920"/>
    <w:rsid w:val="00784A1E"/>
    <w:rsid w:val="00790245"/>
    <w:rsid w:val="00791324"/>
    <w:rsid w:val="007913B0"/>
    <w:rsid w:val="00791D09"/>
    <w:rsid w:val="00793ECE"/>
    <w:rsid w:val="00794FAA"/>
    <w:rsid w:val="007964CC"/>
    <w:rsid w:val="007A16D8"/>
    <w:rsid w:val="007A3257"/>
    <w:rsid w:val="007A3993"/>
    <w:rsid w:val="007A4430"/>
    <w:rsid w:val="007A473B"/>
    <w:rsid w:val="007A4E4B"/>
    <w:rsid w:val="007A57EB"/>
    <w:rsid w:val="007A6579"/>
    <w:rsid w:val="007A6654"/>
    <w:rsid w:val="007A71E1"/>
    <w:rsid w:val="007A7D83"/>
    <w:rsid w:val="007A7F7F"/>
    <w:rsid w:val="007B0C1A"/>
    <w:rsid w:val="007B141B"/>
    <w:rsid w:val="007B19AB"/>
    <w:rsid w:val="007B2A46"/>
    <w:rsid w:val="007B7B38"/>
    <w:rsid w:val="007B7F6D"/>
    <w:rsid w:val="007C0AEA"/>
    <w:rsid w:val="007C1059"/>
    <w:rsid w:val="007C5AD9"/>
    <w:rsid w:val="007C71F0"/>
    <w:rsid w:val="007C77CB"/>
    <w:rsid w:val="007D0A2C"/>
    <w:rsid w:val="007D191A"/>
    <w:rsid w:val="007D3A34"/>
    <w:rsid w:val="007D59DF"/>
    <w:rsid w:val="007D6B34"/>
    <w:rsid w:val="007D70BB"/>
    <w:rsid w:val="007E1339"/>
    <w:rsid w:val="007E1832"/>
    <w:rsid w:val="007E1AC7"/>
    <w:rsid w:val="007E2822"/>
    <w:rsid w:val="007E2A78"/>
    <w:rsid w:val="007E3557"/>
    <w:rsid w:val="007E4AF2"/>
    <w:rsid w:val="007E7590"/>
    <w:rsid w:val="007F3E67"/>
    <w:rsid w:val="007F469B"/>
    <w:rsid w:val="007F47D4"/>
    <w:rsid w:val="007F4850"/>
    <w:rsid w:val="007F49D8"/>
    <w:rsid w:val="007F4A76"/>
    <w:rsid w:val="007F5D24"/>
    <w:rsid w:val="00800C4D"/>
    <w:rsid w:val="00803FDE"/>
    <w:rsid w:val="008042C8"/>
    <w:rsid w:val="008049D1"/>
    <w:rsid w:val="00804FFF"/>
    <w:rsid w:val="0080653E"/>
    <w:rsid w:val="00806C65"/>
    <w:rsid w:val="008071B5"/>
    <w:rsid w:val="008074B7"/>
    <w:rsid w:val="008102F3"/>
    <w:rsid w:val="008108CB"/>
    <w:rsid w:val="008109E3"/>
    <w:rsid w:val="00810CD6"/>
    <w:rsid w:val="00811D7B"/>
    <w:rsid w:val="00814028"/>
    <w:rsid w:val="008153CD"/>
    <w:rsid w:val="00817885"/>
    <w:rsid w:val="0081788A"/>
    <w:rsid w:val="008258D7"/>
    <w:rsid w:val="00825E65"/>
    <w:rsid w:val="00827823"/>
    <w:rsid w:val="00830114"/>
    <w:rsid w:val="0083217D"/>
    <w:rsid w:val="008325C3"/>
    <w:rsid w:val="00833A0A"/>
    <w:rsid w:val="00833E8B"/>
    <w:rsid w:val="0083577B"/>
    <w:rsid w:val="008369CA"/>
    <w:rsid w:val="0084744F"/>
    <w:rsid w:val="00847DF9"/>
    <w:rsid w:val="0085294D"/>
    <w:rsid w:val="00852BCF"/>
    <w:rsid w:val="00854E79"/>
    <w:rsid w:val="008556EE"/>
    <w:rsid w:val="00855975"/>
    <w:rsid w:val="00855EFF"/>
    <w:rsid w:val="00856624"/>
    <w:rsid w:val="0086063C"/>
    <w:rsid w:val="00860DBB"/>
    <w:rsid w:val="00861749"/>
    <w:rsid w:val="008618B7"/>
    <w:rsid w:val="008620EB"/>
    <w:rsid w:val="008622F4"/>
    <w:rsid w:val="00862ACA"/>
    <w:rsid w:val="008638FB"/>
    <w:rsid w:val="00863E6D"/>
    <w:rsid w:val="008654C4"/>
    <w:rsid w:val="00865610"/>
    <w:rsid w:val="008701BE"/>
    <w:rsid w:val="00873BF4"/>
    <w:rsid w:val="00874CCA"/>
    <w:rsid w:val="00876518"/>
    <w:rsid w:val="00880C54"/>
    <w:rsid w:val="00880CB4"/>
    <w:rsid w:val="00881A93"/>
    <w:rsid w:val="00885E1E"/>
    <w:rsid w:val="008861B0"/>
    <w:rsid w:val="00887ADA"/>
    <w:rsid w:val="00890AAF"/>
    <w:rsid w:val="00892A5F"/>
    <w:rsid w:val="00892CF6"/>
    <w:rsid w:val="008964A8"/>
    <w:rsid w:val="0089716D"/>
    <w:rsid w:val="008974BF"/>
    <w:rsid w:val="008A1D59"/>
    <w:rsid w:val="008A71FB"/>
    <w:rsid w:val="008A78DE"/>
    <w:rsid w:val="008B01D7"/>
    <w:rsid w:val="008B1E31"/>
    <w:rsid w:val="008B3597"/>
    <w:rsid w:val="008B4FC3"/>
    <w:rsid w:val="008B53B2"/>
    <w:rsid w:val="008B622D"/>
    <w:rsid w:val="008B7068"/>
    <w:rsid w:val="008C0195"/>
    <w:rsid w:val="008C11D5"/>
    <w:rsid w:val="008C1224"/>
    <w:rsid w:val="008C1A50"/>
    <w:rsid w:val="008C1C09"/>
    <w:rsid w:val="008C3653"/>
    <w:rsid w:val="008C4221"/>
    <w:rsid w:val="008C55E1"/>
    <w:rsid w:val="008C6307"/>
    <w:rsid w:val="008C758A"/>
    <w:rsid w:val="008C7E48"/>
    <w:rsid w:val="008D1679"/>
    <w:rsid w:val="008D1D5E"/>
    <w:rsid w:val="008D4D0C"/>
    <w:rsid w:val="008D4E65"/>
    <w:rsid w:val="008D52B7"/>
    <w:rsid w:val="008D6852"/>
    <w:rsid w:val="008E1454"/>
    <w:rsid w:val="008E599A"/>
    <w:rsid w:val="008E7143"/>
    <w:rsid w:val="008E72BC"/>
    <w:rsid w:val="008F07C6"/>
    <w:rsid w:val="008F0DE6"/>
    <w:rsid w:val="008F130F"/>
    <w:rsid w:val="008F2964"/>
    <w:rsid w:val="008F5732"/>
    <w:rsid w:val="008F65D7"/>
    <w:rsid w:val="00900A08"/>
    <w:rsid w:val="009049AF"/>
    <w:rsid w:val="0090590F"/>
    <w:rsid w:val="009059FF"/>
    <w:rsid w:val="00905A81"/>
    <w:rsid w:val="00907783"/>
    <w:rsid w:val="00911328"/>
    <w:rsid w:val="00912C71"/>
    <w:rsid w:val="009138E8"/>
    <w:rsid w:val="009151A4"/>
    <w:rsid w:val="00915359"/>
    <w:rsid w:val="00916775"/>
    <w:rsid w:val="009231F0"/>
    <w:rsid w:val="00923F80"/>
    <w:rsid w:val="00924635"/>
    <w:rsid w:val="0092485A"/>
    <w:rsid w:val="00930047"/>
    <w:rsid w:val="00935006"/>
    <w:rsid w:val="00935A8A"/>
    <w:rsid w:val="00940242"/>
    <w:rsid w:val="00940D54"/>
    <w:rsid w:val="00943608"/>
    <w:rsid w:val="00952E33"/>
    <w:rsid w:val="009535B2"/>
    <w:rsid w:val="0095455B"/>
    <w:rsid w:val="009554CD"/>
    <w:rsid w:val="009567D6"/>
    <w:rsid w:val="00960732"/>
    <w:rsid w:val="009634AF"/>
    <w:rsid w:val="009636C3"/>
    <w:rsid w:val="009639ED"/>
    <w:rsid w:val="00963EF4"/>
    <w:rsid w:val="00965A8B"/>
    <w:rsid w:val="00967CBC"/>
    <w:rsid w:val="00970B36"/>
    <w:rsid w:val="009724AE"/>
    <w:rsid w:val="00975B71"/>
    <w:rsid w:val="00975E31"/>
    <w:rsid w:val="009767FB"/>
    <w:rsid w:val="00983868"/>
    <w:rsid w:val="00983A3D"/>
    <w:rsid w:val="00986319"/>
    <w:rsid w:val="009901C0"/>
    <w:rsid w:val="00990778"/>
    <w:rsid w:val="0099172A"/>
    <w:rsid w:val="00992E84"/>
    <w:rsid w:val="0099355B"/>
    <w:rsid w:val="00994241"/>
    <w:rsid w:val="00994CC4"/>
    <w:rsid w:val="009958CE"/>
    <w:rsid w:val="009A0646"/>
    <w:rsid w:val="009A1083"/>
    <w:rsid w:val="009A17FE"/>
    <w:rsid w:val="009A1BE7"/>
    <w:rsid w:val="009A45C6"/>
    <w:rsid w:val="009A565D"/>
    <w:rsid w:val="009A7A59"/>
    <w:rsid w:val="009B0446"/>
    <w:rsid w:val="009B0D31"/>
    <w:rsid w:val="009B4E56"/>
    <w:rsid w:val="009B68B1"/>
    <w:rsid w:val="009B6FFC"/>
    <w:rsid w:val="009B7702"/>
    <w:rsid w:val="009C07F4"/>
    <w:rsid w:val="009C1881"/>
    <w:rsid w:val="009C308E"/>
    <w:rsid w:val="009C34A0"/>
    <w:rsid w:val="009C4749"/>
    <w:rsid w:val="009D0CDA"/>
    <w:rsid w:val="009D1030"/>
    <w:rsid w:val="009D19EF"/>
    <w:rsid w:val="009D2B88"/>
    <w:rsid w:val="009D3A68"/>
    <w:rsid w:val="009D3C04"/>
    <w:rsid w:val="009D6DA3"/>
    <w:rsid w:val="009E354E"/>
    <w:rsid w:val="009E4B22"/>
    <w:rsid w:val="009E6161"/>
    <w:rsid w:val="009F1914"/>
    <w:rsid w:val="009F25A5"/>
    <w:rsid w:val="009F3E29"/>
    <w:rsid w:val="009F78D3"/>
    <w:rsid w:val="00A02C0C"/>
    <w:rsid w:val="00A0306E"/>
    <w:rsid w:val="00A0461F"/>
    <w:rsid w:val="00A05BB6"/>
    <w:rsid w:val="00A07355"/>
    <w:rsid w:val="00A10CD9"/>
    <w:rsid w:val="00A111E4"/>
    <w:rsid w:val="00A11798"/>
    <w:rsid w:val="00A12D16"/>
    <w:rsid w:val="00A12E01"/>
    <w:rsid w:val="00A13155"/>
    <w:rsid w:val="00A13A59"/>
    <w:rsid w:val="00A17CA2"/>
    <w:rsid w:val="00A20AC8"/>
    <w:rsid w:val="00A20B6F"/>
    <w:rsid w:val="00A21128"/>
    <w:rsid w:val="00A21D70"/>
    <w:rsid w:val="00A2203E"/>
    <w:rsid w:val="00A22E8E"/>
    <w:rsid w:val="00A230C5"/>
    <w:rsid w:val="00A23A52"/>
    <w:rsid w:val="00A245C6"/>
    <w:rsid w:val="00A25B23"/>
    <w:rsid w:val="00A26A4D"/>
    <w:rsid w:val="00A31B87"/>
    <w:rsid w:val="00A31EF6"/>
    <w:rsid w:val="00A33932"/>
    <w:rsid w:val="00A33946"/>
    <w:rsid w:val="00A3506E"/>
    <w:rsid w:val="00A35BAF"/>
    <w:rsid w:val="00A37CB8"/>
    <w:rsid w:val="00A4074B"/>
    <w:rsid w:val="00A467DF"/>
    <w:rsid w:val="00A51C3C"/>
    <w:rsid w:val="00A52AC7"/>
    <w:rsid w:val="00A52E4C"/>
    <w:rsid w:val="00A552CB"/>
    <w:rsid w:val="00A6029D"/>
    <w:rsid w:val="00A606C0"/>
    <w:rsid w:val="00A61E86"/>
    <w:rsid w:val="00A62814"/>
    <w:rsid w:val="00A62BA8"/>
    <w:rsid w:val="00A63300"/>
    <w:rsid w:val="00A634DF"/>
    <w:rsid w:val="00A635EB"/>
    <w:rsid w:val="00A636FF"/>
    <w:rsid w:val="00A65F0C"/>
    <w:rsid w:val="00A70DC7"/>
    <w:rsid w:val="00A72125"/>
    <w:rsid w:val="00A724A1"/>
    <w:rsid w:val="00A764FD"/>
    <w:rsid w:val="00A774EA"/>
    <w:rsid w:val="00A8236A"/>
    <w:rsid w:val="00A82433"/>
    <w:rsid w:val="00A84040"/>
    <w:rsid w:val="00A84955"/>
    <w:rsid w:val="00A8595D"/>
    <w:rsid w:val="00A93F51"/>
    <w:rsid w:val="00A942A2"/>
    <w:rsid w:val="00A94D85"/>
    <w:rsid w:val="00A96EF1"/>
    <w:rsid w:val="00A97E2E"/>
    <w:rsid w:val="00AA0762"/>
    <w:rsid w:val="00AA1423"/>
    <w:rsid w:val="00AA4956"/>
    <w:rsid w:val="00AA4A24"/>
    <w:rsid w:val="00AA5B72"/>
    <w:rsid w:val="00AA637E"/>
    <w:rsid w:val="00AA6F78"/>
    <w:rsid w:val="00AB0E3B"/>
    <w:rsid w:val="00AB2236"/>
    <w:rsid w:val="00AB45AE"/>
    <w:rsid w:val="00AC095A"/>
    <w:rsid w:val="00AC1A06"/>
    <w:rsid w:val="00AC2261"/>
    <w:rsid w:val="00AC255A"/>
    <w:rsid w:val="00AC367E"/>
    <w:rsid w:val="00AC3738"/>
    <w:rsid w:val="00AC6DC4"/>
    <w:rsid w:val="00AC776B"/>
    <w:rsid w:val="00AC7A5A"/>
    <w:rsid w:val="00AD2036"/>
    <w:rsid w:val="00AD4967"/>
    <w:rsid w:val="00AD4C87"/>
    <w:rsid w:val="00AD5A9E"/>
    <w:rsid w:val="00AD5B8D"/>
    <w:rsid w:val="00AD6489"/>
    <w:rsid w:val="00AD762A"/>
    <w:rsid w:val="00AE0C00"/>
    <w:rsid w:val="00AE1D6D"/>
    <w:rsid w:val="00AE28EF"/>
    <w:rsid w:val="00AE2B3B"/>
    <w:rsid w:val="00AE7290"/>
    <w:rsid w:val="00AF286A"/>
    <w:rsid w:val="00AF39D2"/>
    <w:rsid w:val="00AF59A6"/>
    <w:rsid w:val="00AF7648"/>
    <w:rsid w:val="00AF7B7C"/>
    <w:rsid w:val="00B036BB"/>
    <w:rsid w:val="00B0725D"/>
    <w:rsid w:val="00B109D6"/>
    <w:rsid w:val="00B12556"/>
    <w:rsid w:val="00B13A78"/>
    <w:rsid w:val="00B15FB7"/>
    <w:rsid w:val="00B31587"/>
    <w:rsid w:val="00B317F5"/>
    <w:rsid w:val="00B34A19"/>
    <w:rsid w:val="00B36C62"/>
    <w:rsid w:val="00B377A8"/>
    <w:rsid w:val="00B37B11"/>
    <w:rsid w:val="00B40D73"/>
    <w:rsid w:val="00B42401"/>
    <w:rsid w:val="00B4764C"/>
    <w:rsid w:val="00B47D4B"/>
    <w:rsid w:val="00B5062F"/>
    <w:rsid w:val="00B524FE"/>
    <w:rsid w:val="00B53166"/>
    <w:rsid w:val="00B53264"/>
    <w:rsid w:val="00B54293"/>
    <w:rsid w:val="00B544A9"/>
    <w:rsid w:val="00B54736"/>
    <w:rsid w:val="00B54A6C"/>
    <w:rsid w:val="00B57C3B"/>
    <w:rsid w:val="00B57EF3"/>
    <w:rsid w:val="00B607EC"/>
    <w:rsid w:val="00B61717"/>
    <w:rsid w:val="00B61E33"/>
    <w:rsid w:val="00B629B7"/>
    <w:rsid w:val="00B63E23"/>
    <w:rsid w:val="00B64E70"/>
    <w:rsid w:val="00B67179"/>
    <w:rsid w:val="00B67341"/>
    <w:rsid w:val="00B6764C"/>
    <w:rsid w:val="00B678DD"/>
    <w:rsid w:val="00B67AF4"/>
    <w:rsid w:val="00B714E2"/>
    <w:rsid w:val="00B7355D"/>
    <w:rsid w:val="00B7395F"/>
    <w:rsid w:val="00B74935"/>
    <w:rsid w:val="00B74D61"/>
    <w:rsid w:val="00B759F3"/>
    <w:rsid w:val="00B776E9"/>
    <w:rsid w:val="00B77C6A"/>
    <w:rsid w:val="00B80E53"/>
    <w:rsid w:val="00B8163E"/>
    <w:rsid w:val="00B8193E"/>
    <w:rsid w:val="00B81F6E"/>
    <w:rsid w:val="00B875D3"/>
    <w:rsid w:val="00B90296"/>
    <w:rsid w:val="00B90FBD"/>
    <w:rsid w:val="00B916D3"/>
    <w:rsid w:val="00B92B96"/>
    <w:rsid w:val="00B92D13"/>
    <w:rsid w:val="00B92E86"/>
    <w:rsid w:val="00B94017"/>
    <w:rsid w:val="00B946B0"/>
    <w:rsid w:val="00B958B5"/>
    <w:rsid w:val="00B96753"/>
    <w:rsid w:val="00B96964"/>
    <w:rsid w:val="00B97452"/>
    <w:rsid w:val="00BA1195"/>
    <w:rsid w:val="00BA34C9"/>
    <w:rsid w:val="00BA365D"/>
    <w:rsid w:val="00BA3FC9"/>
    <w:rsid w:val="00BA4A6A"/>
    <w:rsid w:val="00BA4B73"/>
    <w:rsid w:val="00BA5F04"/>
    <w:rsid w:val="00BA6D98"/>
    <w:rsid w:val="00BA7BF3"/>
    <w:rsid w:val="00BB21A0"/>
    <w:rsid w:val="00BB2A2E"/>
    <w:rsid w:val="00BB481A"/>
    <w:rsid w:val="00BB4E9C"/>
    <w:rsid w:val="00BB5918"/>
    <w:rsid w:val="00BB5AE2"/>
    <w:rsid w:val="00BB7368"/>
    <w:rsid w:val="00BB7A53"/>
    <w:rsid w:val="00BC036B"/>
    <w:rsid w:val="00BC4703"/>
    <w:rsid w:val="00BC5F9F"/>
    <w:rsid w:val="00BC6200"/>
    <w:rsid w:val="00BD0C9A"/>
    <w:rsid w:val="00BD161D"/>
    <w:rsid w:val="00BD1A9A"/>
    <w:rsid w:val="00BD3A4A"/>
    <w:rsid w:val="00BD47B6"/>
    <w:rsid w:val="00BD4A48"/>
    <w:rsid w:val="00BD4CEB"/>
    <w:rsid w:val="00BD5557"/>
    <w:rsid w:val="00BD5DEB"/>
    <w:rsid w:val="00BE0DD8"/>
    <w:rsid w:val="00BE2B5E"/>
    <w:rsid w:val="00BE36A8"/>
    <w:rsid w:val="00BE37B1"/>
    <w:rsid w:val="00BE600B"/>
    <w:rsid w:val="00BF08C3"/>
    <w:rsid w:val="00BF0CF2"/>
    <w:rsid w:val="00BF1B83"/>
    <w:rsid w:val="00BF487D"/>
    <w:rsid w:val="00BF4B3C"/>
    <w:rsid w:val="00BF4D49"/>
    <w:rsid w:val="00BF65A3"/>
    <w:rsid w:val="00C06DDF"/>
    <w:rsid w:val="00C07016"/>
    <w:rsid w:val="00C07F29"/>
    <w:rsid w:val="00C12B21"/>
    <w:rsid w:val="00C14D5B"/>
    <w:rsid w:val="00C175C8"/>
    <w:rsid w:val="00C2006D"/>
    <w:rsid w:val="00C2338D"/>
    <w:rsid w:val="00C25A01"/>
    <w:rsid w:val="00C26146"/>
    <w:rsid w:val="00C26685"/>
    <w:rsid w:val="00C30109"/>
    <w:rsid w:val="00C32761"/>
    <w:rsid w:val="00C34B4A"/>
    <w:rsid w:val="00C34CDB"/>
    <w:rsid w:val="00C359D1"/>
    <w:rsid w:val="00C361F9"/>
    <w:rsid w:val="00C37684"/>
    <w:rsid w:val="00C404A0"/>
    <w:rsid w:val="00C43E10"/>
    <w:rsid w:val="00C43E28"/>
    <w:rsid w:val="00C507CB"/>
    <w:rsid w:val="00C51476"/>
    <w:rsid w:val="00C51EA0"/>
    <w:rsid w:val="00C520D3"/>
    <w:rsid w:val="00C52768"/>
    <w:rsid w:val="00C5615B"/>
    <w:rsid w:val="00C5649C"/>
    <w:rsid w:val="00C663F1"/>
    <w:rsid w:val="00C66829"/>
    <w:rsid w:val="00C66E24"/>
    <w:rsid w:val="00C70614"/>
    <w:rsid w:val="00C706C0"/>
    <w:rsid w:val="00C717DA"/>
    <w:rsid w:val="00C726B6"/>
    <w:rsid w:val="00C74079"/>
    <w:rsid w:val="00C7448B"/>
    <w:rsid w:val="00C76498"/>
    <w:rsid w:val="00C8343F"/>
    <w:rsid w:val="00C838EA"/>
    <w:rsid w:val="00C85BBF"/>
    <w:rsid w:val="00C860F8"/>
    <w:rsid w:val="00C8792D"/>
    <w:rsid w:val="00C87CFD"/>
    <w:rsid w:val="00C90039"/>
    <w:rsid w:val="00C93B11"/>
    <w:rsid w:val="00C93F38"/>
    <w:rsid w:val="00C9583E"/>
    <w:rsid w:val="00C9751E"/>
    <w:rsid w:val="00CA1960"/>
    <w:rsid w:val="00CA2C05"/>
    <w:rsid w:val="00CA3A29"/>
    <w:rsid w:val="00CA4467"/>
    <w:rsid w:val="00CA5407"/>
    <w:rsid w:val="00CA5BE0"/>
    <w:rsid w:val="00CA686D"/>
    <w:rsid w:val="00CA7C03"/>
    <w:rsid w:val="00CA7DCA"/>
    <w:rsid w:val="00CB08C3"/>
    <w:rsid w:val="00CB11EF"/>
    <w:rsid w:val="00CB3CEB"/>
    <w:rsid w:val="00CB5931"/>
    <w:rsid w:val="00CB59D5"/>
    <w:rsid w:val="00CC0673"/>
    <w:rsid w:val="00CC13EA"/>
    <w:rsid w:val="00CC1A6D"/>
    <w:rsid w:val="00CC3FDF"/>
    <w:rsid w:val="00CC4CE2"/>
    <w:rsid w:val="00CC4FFA"/>
    <w:rsid w:val="00CC60B6"/>
    <w:rsid w:val="00CC69E9"/>
    <w:rsid w:val="00CC707F"/>
    <w:rsid w:val="00CD1210"/>
    <w:rsid w:val="00CD28F7"/>
    <w:rsid w:val="00CD44E5"/>
    <w:rsid w:val="00CD47C8"/>
    <w:rsid w:val="00CD4D78"/>
    <w:rsid w:val="00CD6AF6"/>
    <w:rsid w:val="00CD70C0"/>
    <w:rsid w:val="00CE0091"/>
    <w:rsid w:val="00CE08B2"/>
    <w:rsid w:val="00CE2365"/>
    <w:rsid w:val="00CE34B7"/>
    <w:rsid w:val="00CE47F9"/>
    <w:rsid w:val="00CE60A9"/>
    <w:rsid w:val="00CF0340"/>
    <w:rsid w:val="00CF3101"/>
    <w:rsid w:val="00CF3300"/>
    <w:rsid w:val="00CF3A14"/>
    <w:rsid w:val="00CF451E"/>
    <w:rsid w:val="00CF4678"/>
    <w:rsid w:val="00CF50E7"/>
    <w:rsid w:val="00CF5C23"/>
    <w:rsid w:val="00CF6B74"/>
    <w:rsid w:val="00D006AE"/>
    <w:rsid w:val="00D057D9"/>
    <w:rsid w:val="00D115A3"/>
    <w:rsid w:val="00D11637"/>
    <w:rsid w:val="00D12F1B"/>
    <w:rsid w:val="00D13DFB"/>
    <w:rsid w:val="00D16329"/>
    <w:rsid w:val="00D203B7"/>
    <w:rsid w:val="00D22003"/>
    <w:rsid w:val="00D22F7C"/>
    <w:rsid w:val="00D23649"/>
    <w:rsid w:val="00D25884"/>
    <w:rsid w:val="00D25E02"/>
    <w:rsid w:val="00D331FB"/>
    <w:rsid w:val="00D35895"/>
    <w:rsid w:val="00D35F3A"/>
    <w:rsid w:val="00D36FCA"/>
    <w:rsid w:val="00D37F80"/>
    <w:rsid w:val="00D40931"/>
    <w:rsid w:val="00D421D3"/>
    <w:rsid w:val="00D42FC3"/>
    <w:rsid w:val="00D43501"/>
    <w:rsid w:val="00D4383B"/>
    <w:rsid w:val="00D43FC4"/>
    <w:rsid w:val="00D468B6"/>
    <w:rsid w:val="00D46F12"/>
    <w:rsid w:val="00D47311"/>
    <w:rsid w:val="00D475D9"/>
    <w:rsid w:val="00D4761D"/>
    <w:rsid w:val="00D4783B"/>
    <w:rsid w:val="00D519DD"/>
    <w:rsid w:val="00D5265B"/>
    <w:rsid w:val="00D52A7D"/>
    <w:rsid w:val="00D52E38"/>
    <w:rsid w:val="00D558A6"/>
    <w:rsid w:val="00D604F9"/>
    <w:rsid w:val="00D60964"/>
    <w:rsid w:val="00D62A7F"/>
    <w:rsid w:val="00D62F07"/>
    <w:rsid w:val="00D62F1E"/>
    <w:rsid w:val="00D6341B"/>
    <w:rsid w:val="00D64A6E"/>
    <w:rsid w:val="00D6561C"/>
    <w:rsid w:val="00D703EA"/>
    <w:rsid w:val="00D706EB"/>
    <w:rsid w:val="00D73602"/>
    <w:rsid w:val="00D73E73"/>
    <w:rsid w:val="00D74F95"/>
    <w:rsid w:val="00D7503A"/>
    <w:rsid w:val="00D76398"/>
    <w:rsid w:val="00D7761B"/>
    <w:rsid w:val="00D83ED7"/>
    <w:rsid w:val="00D84A5A"/>
    <w:rsid w:val="00D863F0"/>
    <w:rsid w:val="00D86FD4"/>
    <w:rsid w:val="00D91397"/>
    <w:rsid w:val="00D914EF"/>
    <w:rsid w:val="00D91F0A"/>
    <w:rsid w:val="00D9276D"/>
    <w:rsid w:val="00D92975"/>
    <w:rsid w:val="00D94329"/>
    <w:rsid w:val="00D95C13"/>
    <w:rsid w:val="00D95FC7"/>
    <w:rsid w:val="00D97330"/>
    <w:rsid w:val="00DA0C81"/>
    <w:rsid w:val="00DA0CB8"/>
    <w:rsid w:val="00DA1649"/>
    <w:rsid w:val="00DA172E"/>
    <w:rsid w:val="00DA2D8F"/>
    <w:rsid w:val="00DA3691"/>
    <w:rsid w:val="00DA3E0C"/>
    <w:rsid w:val="00DA4F5D"/>
    <w:rsid w:val="00DA64C0"/>
    <w:rsid w:val="00DA74D8"/>
    <w:rsid w:val="00DB106B"/>
    <w:rsid w:val="00DB22DA"/>
    <w:rsid w:val="00DB3611"/>
    <w:rsid w:val="00DB3CC7"/>
    <w:rsid w:val="00DB3EA8"/>
    <w:rsid w:val="00DB576F"/>
    <w:rsid w:val="00DB6A79"/>
    <w:rsid w:val="00DC0974"/>
    <w:rsid w:val="00DC09CA"/>
    <w:rsid w:val="00DC3014"/>
    <w:rsid w:val="00DC3312"/>
    <w:rsid w:val="00DC5A0B"/>
    <w:rsid w:val="00DC6317"/>
    <w:rsid w:val="00DC7D87"/>
    <w:rsid w:val="00DD120B"/>
    <w:rsid w:val="00DD2D35"/>
    <w:rsid w:val="00DD4BF2"/>
    <w:rsid w:val="00DD52CF"/>
    <w:rsid w:val="00DD5735"/>
    <w:rsid w:val="00DD59CB"/>
    <w:rsid w:val="00DD622F"/>
    <w:rsid w:val="00DD7A0C"/>
    <w:rsid w:val="00DE1A10"/>
    <w:rsid w:val="00DE2A5B"/>
    <w:rsid w:val="00DE35D9"/>
    <w:rsid w:val="00DE5855"/>
    <w:rsid w:val="00DE7FAE"/>
    <w:rsid w:val="00DF027D"/>
    <w:rsid w:val="00DF1CF4"/>
    <w:rsid w:val="00DF4199"/>
    <w:rsid w:val="00DF441B"/>
    <w:rsid w:val="00DF5784"/>
    <w:rsid w:val="00DF645B"/>
    <w:rsid w:val="00DF70D1"/>
    <w:rsid w:val="00E00204"/>
    <w:rsid w:val="00E008B9"/>
    <w:rsid w:val="00E019DC"/>
    <w:rsid w:val="00E05555"/>
    <w:rsid w:val="00E075F4"/>
    <w:rsid w:val="00E12819"/>
    <w:rsid w:val="00E1311E"/>
    <w:rsid w:val="00E145F6"/>
    <w:rsid w:val="00E14B3C"/>
    <w:rsid w:val="00E15BA7"/>
    <w:rsid w:val="00E17124"/>
    <w:rsid w:val="00E2281D"/>
    <w:rsid w:val="00E23236"/>
    <w:rsid w:val="00E23D82"/>
    <w:rsid w:val="00E26035"/>
    <w:rsid w:val="00E27F4E"/>
    <w:rsid w:val="00E27F76"/>
    <w:rsid w:val="00E30D64"/>
    <w:rsid w:val="00E3346F"/>
    <w:rsid w:val="00E33944"/>
    <w:rsid w:val="00E33DA2"/>
    <w:rsid w:val="00E340DE"/>
    <w:rsid w:val="00E341E1"/>
    <w:rsid w:val="00E361C0"/>
    <w:rsid w:val="00E37C5B"/>
    <w:rsid w:val="00E42234"/>
    <w:rsid w:val="00E42399"/>
    <w:rsid w:val="00E4415B"/>
    <w:rsid w:val="00E462C4"/>
    <w:rsid w:val="00E51216"/>
    <w:rsid w:val="00E51D32"/>
    <w:rsid w:val="00E54AA9"/>
    <w:rsid w:val="00E5647E"/>
    <w:rsid w:val="00E5762C"/>
    <w:rsid w:val="00E57954"/>
    <w:rsid w:val="00E602BB"/>
    <w:rsid w:val="00E610B2"/>
    <w:rsid w:val="00E6119C"/>
    <w:rsid w:val="00E61AA0"/>
    <w:rsid w:val="00E64F7D"/>
    <w:rsid w:val="00E65E4C"/>
    <w:rsid w:val="00E7090B"/>
    <w:rsid w:val="00E73D8A"/>
    <w:rsid w:val="00E73F9A"/>
    <w:rsid w:val="00E74AFE"/>
    <w:rsid w:val="00E76832"/>
    <w:rsid w:val="00E76D74"/>
    <w:rsid w:val="00E770DD"/>
    <w:rsid w:val="00E7776F"/>
    <w:rsid w:val="00E834F5"/>
    <w:rsid w:val="00E87A97"/>
    <w:rsid w:val="00E906A4"/>
    <w:rsid w:val="00E919F8"/>
    <w:rsid w:val="00E95759"/>
    <w:rsid w:val="00E96808"/>
    <w:rsid w:val="00E96AD4"/>
    <w:rsid w:val="00EA02A6"/>
    <w:rsid w:val="00EA036A"/>
    <w:rsid w:val="00EA22B2"/>
    <w:rsid w:val="00EA357E"/>
    <w:rsid w:val="00EA64E3"/>
    <w:rsid w:val="00EA71A1"/>
    <w:rsid w:val="00EA7599"/>
    <w:rsid w:val="00EA7608"/>
    <w:rsid w:val="00EB1BAE"/>
    <w:rsid w:val="00EB1D40"/>
    <w:rsid w:val="00EB5DC0"/>
    <w:rsid w:val="00EC1FF0"/>
    <w:rsid w:val="00EC25A2"/>
    <w:rsid w:val="00EC3F9C"/>
    <w:rsid w:val="00EC6667"/>
    <w:rsid w:val="00ED0EA7"/>
    <w:rsid w:val="00ED19E4"/>
    <w:rsid w:val="00ED1D2F"/>
    <w:rsid w:val="00ED25BB"/>
    <w:rsid w:val="00ED46DE"/>
    <w:rsid w:val="00ED4E85"/>
    <w:rsid w:val="00ED6789"/>
    <w:rsid w:val="00ED7CB5"/>
    <w:rsid w:val="00EE0997"/>
    <w:rsid w:val="00EE27F4"/>
    <w:rsid w:val="00EE38DE"/>
    <w:rsid w:val="00EE45EB"/>
    <w:rsid w:val="00EE55A4"/>
    <w:rsid w:val="00EE60A9"/>
    <w:rsid w:val="00EE6A3E"/>
    <w:rsid w:val="00EE6CDC"/>
    <w:rsid w:val="00EE7335"/>
    <w:rsid w:val="00EF079A"/>
    <w:rsid w:val="00EF0855"/>
    <w:rsid w:val="00EF23B4"/>
    <w:rsid w:val="00EF4098"/>
    <w:rsid w:val="00EF4509"/>
    <w:rsid w:val="00EF6083"/>
    <w:rsid w:val="00EF723C"/>
    <w:rsid w:val="00F00142"/>
    <w:rsid w:val="00F028F4"/>
    <w:rsid w:val="00F03BDC"/>
    <w:rsid w:val="00F0472A"/>
    <w:rsid w:val="00F04FB0"/>
    <w:rsid w:val="00F066D0"/>
    <w:rsid w:val="00F0677F"/>
    <w:rsid w:val="00F07B18"/>
    <w:rsid w:val="00F1183C"/>
    <w:rsid w:val="00F14F6B"/>
    <w:rsid w:val="00F14FE7"/>
    <w:rsid w:val="00F15267"/>
    <w:rsid w:val="00F15EB7"/>
    <w:rsid w:val="00F1763E"/>
    <w:rsid w:val="00F176FA"/>
    <w:rsid w:val="00F22CF2"/>
    <w:rsid w:val="00F25941"/>
    <w:rsid w:val="00F263D6"/>
    <w:rsid w:val="00F26A72"/>
    <w:rsid w:val="00F31367"/>
    <w:rsid w:val="00F31FF8"/>
    <w:rsid w:val="00F3215A"/>
    <w:rsid w:val="00F333B6"/>
    <w:rsid w:val="00F33959"/>
    <w:rsid w:val="00F40801"/>
    <w:rsid w:val="00F41BF1"/>
    <w:rsid w:val="00F42817"/>
    <w:rsid w:val="00F42B32"/>
    <w:rsid w:val="00F450BA"/>
    <w:rsid w:val="00F454A9"/>
    <w:rsid w:val="00F47A60"/>
    <w:rsid w:val="00F503EB"/>
    <w:rsid w:val="00F50C39"/>
    <w:rsid w:val="00F5346E"/>
    <w:rsid w:val="00F54943"/>
    <w:rsid w:val="00F549DC"/>
    <w:rsid w:val="00F56C32"/>
    <w:rsid w:val="00F57653"/>
    <w:rsid w:val="00F57F1C"/>
    <w:rsid w:val="00F627A0"/>
    <w:rsid w:val="00F660EE"/>
    <w:rsid w:val="00F6709D"/>
    <w:rsid w:val="00F67C15"/>
    <w:rsid w:val="00F72594"/>
    <w:rsid w:val="00F7478C"/>
    <w:rsid w:val="00F77BAE"/>
    <w:rsid w:val="00F829FB"/>
    <w:rsid w:val="00F83F2B"/>
    <w:rsid w:val="00F86491"/>
    <w:rsid w:val="00F9018C"/>
    <w:rsid w:val="00F91B1E"/>
    <w:rsid w:val="00F92064"/>
    <w:rsid w:val="00F9228A"/>
    <w:rsid w:val="00F9254A"/>
    <w:rsid w:val="00F9268D"/>
    <w:rsid w:val="00F937D5"/>
    <w:rsid w:val="00F9485C"/>
    <w:rsid w:val="00F96789"/>
    <w:rsid w:val="00F96A25"/>
    <w:rsid w:val="00F96A86"/>
    <w:rsid w:val="00F97174"/>
    <w:rsid w:val="00F972B5"/>
    <w:rsid w:val="00FA1D0E"/>
    <w:rsid w:val="00FA2403"/>
    <w:rsid w:val="00FA2BE8"/>
    <w:rsid w:val="00FA583C"/>
    <w:rsid w:val="00FA64BA"/>
    <w:rsid w:val="00FB016D"/>
    <w:rsid w:val="00FB0574"/>
    <w:rsid w:val="00FB118D"/>
    <w:rsid w:val="00FB133C"/>
    <w:rsid w:val="00FB2121"/>
    <w:rsid w:val="00FB4F20"/>
    <w:rsid w:val="00FC02EF"/>
    <w:rsid w:val="00FC1BBC"/>
    <w:rsid w:val="00FC3481"/>
    <w:rsid w:val="00FC34E7"/>
    <w:rsid w:val="00FC5816"/>
    <w:rsid w:val="00FD1079"/>
    <w:rsid w:val="00FD1CAD"/>
    <w:rsid w:val="00FD2A6F"/>
    <w:rsid w:val="00FD311E"/>
    <w:rsid w:val="00FD321D"/>
    <w:rsid w:val="00FD3F30"/>
    <w:rsid w:val="00FD571E"/>
    <w:rsid w:val="00FD7E98"/>
    <w:rsid w:val="00FE090B"/>
    <w:rsid w:val="00FE1080"/>
    <w:rsid w:val="00FE1749"/>
    <w:rsid w:val="00FE3168"/>
    <w:rsid w:val="00FE3FB1"/>
    <w:rsid w:val="00FE61A5"/>
    <w:rsid w:val="00FE621F"/>
    <w:rsid w:val="00FE7DB4"/>
    <w:rsid w:val="00FF032B"/>
    <w:rsid w:val="00FF1538"/>
    <w:rsid w:val="00FF1F68"/>
    <w:rsid w:val="00FF2AFF"/>
    <w:rsid w:val="00FF3215"/>
    <w:rsid w:val="00FF4297"/>
    <w:rsid w:val="00FF4354"/>
    <w:rsid w:val="00FF5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link w:val="FootnoteTextChar"/>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 w:type="paragraph" w:styleId="NormalWeb">
    <w:name w:val="Normal (Web)"/>
    <w:basedOn w:val="Normal"/>
    <w:uiPriority w:val="99"/>
    <w:unhideWhenUsed/>
    <w:rsid w:val="00031E5A"/>
    <w:pPr>
      <w:spacing w:before="100" w:beforeAutospacing="1" w:after="100" w:afterAutospacing="1"/>
    </w:pPr>
    <w:rPr>
      <w:lang w:eastAsia="tr-TR"/>
    </w:rPr>
  </w:style>
  <w:style w:type="character" w:customStyle="1" w:styleId="HeaderChar">
    <w:name w:val="Header Char"/>
    <w:basedOn w:val="DefaultParagraphFont"/>
    <w:link w:val="Header"/>
    <w:rsid w:val="000E2381"/>
    <w:rPr>
      <w:sz w:val="24"/>
      <w:szCs w:val="24"/>
      <w:lang w:eastAsia="en-US"/>
    </w:rPr>
  </w:style>
  <w:style w:type="character" w:styleId="Hyperlink">
    <w:name w:val="Hyperlink"/>
    <w:basedOn w:val="DefaultParagraphFont"/>
    <w:rsid w:val="000E2381"/>
    <w:rPr>
      <w:color w:val="0000FF" w:themeColor="hyperlink"/>
      <w:u w:val="single"/>
    </w:rPr>
  </w:style>
  <w:style w:type="character" w:customStyle="1" w:styleId="hps">
    <w:name w:val="hps"/>
    <w:basedOn w:val="DefaultParagraphFont"/>
    <w:rsid w:val="00D62A7F"/>
  </w:style>
  <w:style w:type="character" w:customStyle="1" w:styleId="shorttext">
    <w:name w:val="short_text"/>
    <w:basedOn w:val="DefaultParagraphFont"/>
    <w:rsid w:val="00614E5B"/>
  </w:style>
  <w:style w:type="character" w:customStyle="1" w:styleId="FootnoteTextChar">
    <w:name w:val="Footnote Text Char"/>
    <w:link w:val="FootnoteText"/>
    <w:rsid w:val="005A781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link w:val="FootnoteTextChar"/>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 w:type="paragraph" w:styleId="NormalWeb">
    <w:name w:val="Normal (Web)"/>
    <w:basedOn w:val="Normal"/>
    <w:uiPriority w:val="99"/>
    <w:unhideWhenUsed/>
    <w:rsid w:val="00031E5A"/>
    <w:pPr>
      <w:spacing w:before="100" w:beforeAutospacing="1" w:after="100" w:afterAutospacing="1"/>
    </w:pPr>
    <w:rPr>
      <w:lang w:eastAsia="tr-TR"/>
    </w:rPr>
  </w:style>
  <w:style w:type="character" w:customStyle="1" w:styleId="HeaderChar">
    <w:name w:val="Header Char"/>
    <w:basedOn w:val="DefaultParagraphFont"/>
    <w:link w:val="Header"/>
    <w:rsid w:val="000E2381"/>
    <w:rPr>
      <w:sz w:val="24"/>
      <w:szCs w:val="24"/>
      <w:lang w:eastAsia="en-US"/>
    </w:rPr>
  </w:style>
  <w:style w:type="character" w:styleId="Hyperlink">
    <w:name w:val="Hyperlink"/>
    <w:basedOn w:val="DefaultParagraphFont"/>
    <w:rsid w:val="000E2381"/>
    <w:rPr>
      <w:color w:val="0000FF" w:themeColor="hyperlink"/>
      <w:u w:val="single"/>
    </w:rPr>
  </w:style>
  <w:style w:type="character" w:customStyle="1" w:styleId="hps">
    <w:name w:val="hps"/>
    <w:basedOn w:val="DefaultParagraphFont"/>
    <w:rsid w:val="00D62A7F"/>
  </w:style>
  <w:style w:type="character" w:customStyle="1" w:styleId="shorttext">
    <w:name w:val="short_text"/>
    <w:basedOn w:val="DefaultParagraphFont"/>
    <w:rsid w:val="00614E5B"/>
  </w:style>
  <w:style w:type="character" w:customStyle="1" w:styleId="FootnoteTextChar">
    <w:name w:val="Footnote Text Char"/>
    <w:link w:val="FootnoteText"/>
    <w:rsid w:val="005A781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3596">
      <w:bodyDiv w:val="1"/>
      <w:marLeft w:val="0"/>
      <w:marRight w:val="0"/>
      <w:marTop w:val="0"/>
      <w:marBottom w:val="0"/>
      <w:divBdr>
        <w:top w:val="none" w:sz="0" w:space="0" w:color="auto"/>
        <w:left w:val="none" w:sz="0" w:space="0" w:color="auto"/>
        <w:bottom w:val="none" w:sz="0" w:space="0" w:color="auto"/>
        <w:right w:val="none" w:sz="0" w:space="0" w:color="auto"/>
      </w:divBdr>
    </w:div>
    <w:div w:id="132451963">
      <w:bodyDiv w:val="1"/>
      <w:marLeft w:val="0"/>
      <w:marRight w:val="0"/>
      <w:marTop w:val="0"/>
      <w:marBottom w:val="0"/>
      <w:divBdr>
        <w:top w:val="none" w:sz="0" w:space="0" w:color="auto"/>
        <w:left w:val="none" w:sz="0" w:space="0" w:color="auto"/>
        <w:bottom w:val="none" w:sz="0" w:space="0" w:color="auto"/>
        <w:right w:val="none" w:sz="0" w:space="0" w:color="auto"/>
      </w:divBdr>
    </w:div>
    <w:div w:id="361832494">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sChild>
        <w:div w:id="156264659">
          <w:marLeft w:val="547"/>
          <w:marRight w:val="0"/>
          <w:marTop w:val="115"/>
          <w:marBottom w:val="0"/>
          <w:divBdr>
            <w:top w:val="none" w:sz="0" w:space="0" w:color="auto"/>
            <w:left w:val="none" w:sz="0" w:space="0" w:color="auto"/>
            <w:bottom w:val="none" w:sz="0" w:space="0" w:color="auto"/>
            <w:right w:val="none" w:sz="0" w:space="0" w:color="auto"/>
          </w:divBdr>
        </w:div>
        <w:div w:id="229966357">
          <w:marLeft w:val="547"/>
          <w:marRight w:val="0"/>
          <w:marTop w:val="115"/>
          <w:marBottom w:val="0"/>
          <w:divBdr>
            <w:top w:val="none" w:sz="0" w:space="0" w:color="auto"/>
            <w:left w:val="none" w:sz="0" w:space="0" w:color="auto"/>
            <w:bottom w:val="none" w:sz="0" w:space="0" w:color="auto"/>
            <w:right w:val="none" w:sz="0" w:space="0" w:color="auto"/>
          </w:divBdr>
        </w:div>
        <w:div w:id="1223172936">
          <w:marLeft w:val="547"/>
          <w:marRight w:val="0"/>
          <w:marTop w:val="115"/>
          <w:marBottom w:val="0"/>
          <w:divBdr>
            <w:top w:val="none" w:sz="0" w:space="0" w:color="auto"/>
            <w:left w:val="none" w:sz="0" w:space="0" w:color="auto"/>
            <w:bottom w:val="none" w:sz="0" w:space="0" w:color="auto"/>
            <w:right w:val="none" w:sz="0" w:space="0" w:color="auto"/>
          </w:divBdr>
        </w:div>
        <w:div w:id="1507551470">
          <w:marLeft w:val="547"/>
          <w:marRight w:val="0"/>
          <w:marTop w:val="115"/>
          <w:marBottom w:val="0"/>
          <w:divBdr>
            <w:top w:val="none" w:sz="0" w:space="0" w:color="auto"/>
            <w:left w:val="none" w:sz="0" w:space="0" w:color="auto"/>
            <w:bottom w:val="none" w:sz="0" w:space="0" w:color="auto"/>
            <w:right w:val="none" w:sz="0" w:space="0" w:color="auto"/>
          </w:divBdr>
        </w:div>
      </w:divsChild>
    </w:div>
    <w:div w:id="511265705">
      <w:bodyDiv w:val="1"/>
      <w:marLeft w:val="0"/>
      <w:marRight w:val="0"/>
      <w:marTop w:val="0"/>
      <w:marBottom w:val="0"/>
      <w:divBdr>
        <w:top w:val="none" w:sz="0" w:space="0" w:color="auto"/>
        <w:left w:val="none" w:sz="0" w:space="0" w:color="auto"/>
        <w:bottom w:val="none" w:sz="0" w:space="0" w:color="auto"/>
        <w:right w:val="none" w:sz="0" w:space="0" w:color="auto"/>
      </w:divBdr>
      <w:divsChild>
        <w:div w:id="729773008">
          <w:marLeft w:val="0"/>
          <w:marRight w:val="0"/>
          <w:marTop w:val="0"/>
          <w:marBottom w:val="0"/>
          <w:divBdr>
            <w:top w:val="none" w:sz="0" w:space="0" w:color="auto"/>
            <w:left w:val="none" w:sz="0" w:space="0" w:color="auto"/>
            <w:bottom w:val="none" w:sz="0" w:space="0" w:color="auto"/>
            <w:right w:val="none" w:sz="0" w:space="0" w:color="auto"/>
          </w:divBdr>
          <w:divsChild>
            <w:div w:id="1072771153">
              <w:marLeft w:val="0"/>
              <w:marRight w:val="0"/>
              <w:marTop w:val="0"/>
              <w:marBottom w:val="0"/>
              <w:divBdr>
                <w:top w:val="none" w:sz="0" w:space="0" w:color="auto"/>
                <w:left w:val="none" w:sz="0" w:space="0" w:color="auto"/>
                <w:bottom w:val="none" w:sz="0" w:space="0" w:color="auto"/>
                <w:right w:val="none" w:sz="0" w:space="0" w:color="auto"/>
              </w:divBdr>
              <w:divsChild>
                <w:div w:id="236747763">
                  <w:marLeft w:val="0"/>
                  <w:marRight w:val="0"/>
                  <w:marTop w:val="0"/>
                  <w:marBottom w:val="0"/>
                  <w:divBdr>
                    <w:top w:val="none" w:sz="0" w:space="0" w:color="auto"/>
                    <w:left w:val="none" w:sz="0" w:space="0" w:color="auto"/>
                    <w:bottom w:val="none" w:sz="0" w:space="0" w:color="auto"/>
                    <w:right w:val="none" w:sz="0" w:space="0" w:color="auto"/>
                  </w:divBdr>
                  <w:divsChild>
                    <w:div w:id="1867677171">
                      <w:marLeft w:val="0"/>
                      <w:marRight w:val="0"/>
                      <w:marTop w:val="0"/>
                      <w:marBottom w:val="0"/>
                      <w:divBdr>
                        <w:top w:val="none" w:sz="0" w:space="0" w:color="auto"/>
                        <w:left w:val="none" w:sz="0" w:space="0" w:color="auto"/>
                        <w:bottom w:val="none" w:sz="0" w:space="0" w:color="auto"/>
                        <w:right w:val="none" w:sz="0" w:space="0" w:color="auto"/>
                      </w:divBdr>
                      <w:divsChild>
                        <w:div w:id="1652634811">
                          <w:marLeft w:val="0"/>
                          <w:marRight w:val="0"/>
                          <w:marTop w:val="0"/>
                          <w:marBottom w:val="0"/>
                          <w:divBdr>
                            <w:top w:val="none" w:sz="0" w:space="0" w:color="auto"/>
                            <w:left w:val="none" w:sz="0" w:space="0" w:color="auto"/>
                            <w:bottom w:val="none" w:sz="0" w:space="0" w:color="auto"/>
                            <w:right w:val="none" w:sz="0" w:space="0" w:color="auto"/>
                          </w:divBdr>
                          <w:divsChild>
                            <w:div w:id="10955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66035">
      <w:bodyDiv w:val="1"/>
      <w:marLeft w:val="0"/>
      <w:marRight w:val="0"/>
      <w:marTop w:val="0"/>
      <w:marBottom w:val="0"/>
      <w:divBdr>
        <w:top w:val="none" w:sz="0" w:space="0" w:color="auto"/>
        <w:left w:val="none" w:sz="0" w:space="0" w:color="auto"/>
        <w:bottom w:val="none" w:sz="0" w:space="0" w:color="auto"/>
        <w:right w:val="none" w:sz="0" w:space="0" w:color="auto"/>
      </w:divBdr>
      <w:divsChild>
        <w:div w:id="669602118">
          <w:marLeft w:val="547"/>
          <w:marRight w:val="0"/>
          <w:marTop w:val="115"/>
          <w:marBottom w:val="0"/>
          <w:divBdr>
            <w:top w:val="none" w:sz="0" w:space="0" w:color="auto"/>
            <w:left w:val="none" w:sz="0" w:space="0" w:color="auto"/>
            <w:bottom w:val="none" w:sz="0" w:space="0" w:color="auto"/>
            <w:right w:val="none" w:sz="0" w:space="0" w:color="auto"/>
          </w:divBdr>
        </w:div>
        <w:div w:id="1790515796">
          <w:marLeft w:val="547"/>
          <w:marRight w:val="0"/>
          <w:marTop w:val="115"/>
          <w:marBottom w:val="0"/>
          <w:divBdr>
            <w:top w:val="none" w:sz="0" w:space="0" w:color="auto"/>
            <w:left w:val="none" w:sz="0" w:space="0" w:color="auto"/>
            <w:bottom w:val="none" w:sz="0" w:space="0" w:color="auto"/>
            <w:right w:val="none" w:sz="0" w:space="0" w:color="auto"/>
          </w:divBdr>
        </w:div>
        <w:div w:id="2001156777">
          <w:marLeft w:val="547"/>
          <w:marRight w:val="0"/>
          <w:marTop w:val="115"/>
          <w:marBottom w:val="0"/>
          <w:divBdr>
            <w:top w:val="none" w:sz="0" w:space="0" w:color="auto"/>
            <w:left w:val="none" w:sz="0" w:space="0" w:color="auto"/>
            <w:bottom w:val="none" w:sz="0" w:space="0" w:color="auto"/>
            <w:right w:val="none" w:sz="0" w:space="0" w:color="auto"/>
          </w:divBdr>
        </w:div>
      </w:divsChild>
    </w:div>
    <w:div w:id="706759279">
      <w:bodyDiv w:val="1"/>
      <w:marLeft w:val="0"/>
      <w:marRight w:val="0"/>
      <w:marTop w:val="0"/>
      <w:marBottom w:val="0"/>
      <w:divBdr>
        <w:top w:val="none" w:sz="0" w:space="0" w:color="auto"/>
        <w:left w:val="none" w:sz="0" w:space="0" w:color="auto"/>
        <w:bottom w:val="none" w:sz="0" w:space="0" w:color="auto"/>
        <w:right w:val="none" w:sz="0" w:space="0" w:color="auto"/>
      </w:divBdr>
      <w:divsChild>
        <w:div w:id="507212960">
          <w:marLeft w:val="547"/>
          <w:marRight w:val="0"/>
          <w:marTop w:val="115"/>
          <w:marBottom w:val="0"/>
          <w:divBdr>
            <w:top w:val="none" w:sz="0" w:space="0" w:color="auto"/>
            <w:left w:val="none" w:sz="0" w:space="0" w:color="auto"/>
            <w:bottom w:val="none" w:sz="0" w:space="0" w:color="auto"/>
            <w:right w:val="none" w:sz="0" w:space="0" w:color="auto"/>
          </w:divBdr>
        </w:div>
        <w:div w:id="561015712">
          <w:marLeft w:val="547"/>
          <w:marRight w:val="0"/>
          <w:marTop w:val="115"/>
          <w:marBottom w:val="0"/>
          <w:divBdr>
            <w:top w:val="none" w:sz="0" w:space="0" w:color="auto"/>
            <w:left w:val="none" w:sz="0" w:space="0" w:color="auto"/>
            <w:bottom w:val="none" w:sz="0" w:space="0" w:color="auto"/>
            <w:right w:val="none" w:sz="0" w:space="0" w:color="auto"/>
          </w:divBdr>
        </w:div>
        <w:div w:id="1170100814">
          <w:marLeft w:val="547"/>
          <w:marRight w:val="0"/>
          <w:marTop w:val="115"/>
          <w:marBottom w:val="0"/>
          <w:divBdr>
            <w:top w:val="none" w:sz="0" w:space="0" w:color="auto"/>
            <w:left w:val="none" w:sz="0" w:space="0" w:color="auto"/>
            <w:bottom w:val="none" w:sz="0" w:space="0" w:color="auto"/>
            <w:right w:val="none" w:sz="0" w:space="0" w:color="auto"/>
          </w:divBdr>
        </w:div>
        <w:div w:id="1191603775">
          <w:marLeft w:val="547"/>
          <w:marRight w:val="0"/>
          <w:marTop w:val="115"/>
          <w:marBottom w:val="0"/>
          <w:divBdr>
            <w:top w:val="none" w:sz="0" w:space="0" w:color="auto"/>
            <w:left w:val="none" w:sz="0" w:space="0" w:color="auto"/>
            <w:bottom w:val="none" w:sz="0" w:space="0" w:color="auto"/>
            <w:right w:val="none" w:sz="0" w:space="0" w:color="auto"/>
          </w:divBdr>
        </w:div>
        <w:div w:id="1657370573">
          <w:marLeft w:val="547"/>
          <w:marRight w:val="0"/>
          <w:marTop w:val="115"/>
          <w:marBottom w:val="0"/>
          <w:divBdr>
            <w:top w:val="none" w:sz="0" w:space="0" w:color="auto"/>
            <w:left w:val="none" w:sz="0" w:space="0" w:color="auto"/>
            <w:bottom w:val="none" w:sz="0" w:space="0" w:color="auto"/>
            <w:right w:val="none" w:sz="0" w:space="0" w:color="auto"/>
          </w:divBdr>
        </w:div>
      </w:divsChild>
    </w:div>
    <w:div w:id="758672968">
      <w:bodyDiv w:val="1"/>
      <w:marLeft w:val="0"/>
      <w:marRight w:val="0"/>
      <w:marTop w:val="0"/>
      <w:marBottom w:val="0"/>
      <w:divBdr>
        <w:top w:val="none" w:sz="0" w:space="0" w:color="auto"/>
        <w:left w:val="none" w:sz="0" w:space="0" w:color="auto"/>
        <w:bottom w:val="none" w:sz="0" w:space="0" w:color="auto"/>
        <w:right w:val="none" w:sz="0" w:space="0" w:color="auto"/>
      </w:divBdr>
    </w:div>
    <w:div w:id="802040070">
      <w:bodyDiv w:val="1"/>
      <w:marLeft w:val="0"/>
      <w:marRight w:val="0"/>
      <w:marTop w:val="0"/>
      <w:marBottom w:val="0"/>
      <w:divBdr>
        <w:top w:val="none" w:sz="0" w:space="0" w:color="auto"/>
        <w:left w:val="none" w:sz="0" w:space="0" w:color="auto"/>
        <w:bottom w:val="none" w:sz="0" w:space="0" w:color="auto"/>
        <w:right w:val="none" w:sz="0" w:space="0" w:color="auto"/>
      </w:divBdr>
      <w:divsChild>
        <w:div w:id="532697466">
          <w:marLeft w:val="547"/>
          <w:marRight w:val="0"/>
          <w:marTop w:val="86"/>
          <w:marBottom w:val="0"/>
          <w:divBdr>
            <w:top w:val="none" w:sz="0" w:space="0" w:color="auto"/>
            <w:left w:val="none" w:sz="0" w:space="0" w:color="auto"/>
            <w:bottom w:val="none" w:sz="0" w:space="0" w:color="auto"/>
            <w:right w:val="none" w:sz="0" w:space="0" w:color="auto"/>
          </w:divBdr>
        </w:div>
        <w:div w:id="681468916">
          <w:marLeft w:val="547"/>
          <w:marRight w:val="0"/>
          <w:marTop w:val="86"/>
          <w:marBottom w:val="0"/>
          <w:divBdr>
            <w:top w:val="none" w:sz="0" w:space="0" w:color="auto"/>
            <w:left w:val="none" w:sz="0" w:space="0" w:color="auto"/>
            <w:bottom w:val="none" w:sz="0" w:space="0" w:color="auto"/>
            <w:right w:val="none" w:sz="0" w:space="0" w:color="auto"/>
          </w:divBdr>
        </w:div>
        <w:div w:id="1139419824">
          <w:marLeft w:val="547"/>
          <w:marRight w:val="0"/>
          <w:marTop w:val="86"/>
          <w:marBottom w:val="0"/>
          <w:divBdr>
            <w:top w:val="none" w:sz="0" w:space="0" w:color="auto"/>
            <w:left w:val="none" w:sz="0" w:space="0" w:color="auto"/>
            <w:bottom w:val="none" w:sz="0" w:space="0" w:color="auto"/>
            <w:right w:val="none" w:sz="0" w:space="0" w:color="auto"/>
          </w:divBdr>
        </w:div>
        <w:div w:id="1555386386">
          <w:marLeft w:val="547"/>
          <w:marRight w:val="0"/>
          <w:marTop w:val="86"/>
          <w:marBottom w:val="0"/>
          <w:divBdr>
            <w:top w:val="none" w:sz="0" w:space="0" w:color="auto"/>
            <w:left w:val="none" w:sz="0" w:space="0" w:color="auto"/>
            <w:bottom w:val="none" w:sz="0" w:space="0" w:color="auto"/>
            <w:right w:val="none" w:sz="0" w:space="0" w:color="auto"/>
          </w:divBdr>
        </w:div>
      </w:divsChild>
    </w:div>
    <w:div w:id="859390798">
      <w:bodyDiv w:val="1"/>
      <w:marLeft w:val="0"/>
      <w:marRight w:val="0"/>
      <w:marTop w:val="0"/>
      <w:marBottom w:val="0"/>
      <w:divBdr>
        <w:top w:val="none" w:sz="0" w:space="0" w:color="auto"/>
        <w:left w:val="none" w:sz="0" w:space="0" w:color="auto"/>
        <w:bottom w:val="none" w:sz="0" w:space="0" w:color="auto"/>
        <w:right w:val="none" w:sz="0" w:space="0" w:color="auto"/>
      </w:divBdr>
    </w:div>
    <w:div w:id="1061322391">
      <w:bodyDiv w:val="1"/>
      <w:marLeft w:val="0"/>
      <w:marRight w:val="0"/>
      <w:marTop w:val="0"/>
      <w:marBottom w:val="0"/>
      <w:divBdr>
        <w:top w:val="none" w:sz="0" w:space="0" w:color="auto"/>
        <w:left w:val="none" w:sz="0" w:space="0" w:color="auto"/>
        <w:bottom w:val="none" w:sz="0" w:space="0" w:color="auto"/>
        <w:right w:val="none" w:sz="0" w:space="0" w:color="auto"/>
      </w:divBdr>
    </w:div>
    <w:div w:id="1098912736">
      <w:bodyDiv w:val="1"/>
      <w:marLeft w:val="0"/>
      <w:marRight w:val="0"/>
      <w:marTop w:val="0"/>
      <w:marBottom w:val="0"/>
      <w:divBdr>
        <w:top w:val="none" w:sz="0" w:space="0" w:color="auto"/>
        <w:left w:val="none" w:sz="0" w:space="0" w:color="auto"/>
        <w:bottom w:val="none" w:sz="0" w:space="0" w:color="auto"/>
        <w:right w:val="none" w:sz="0" w:space="0" w:color="auto"/>
      </w:divBdr>
      <w:divsChild>
        <w:div w:id="179392049">
          <w:marLeft w:val="547"/>
          <w:marRight w:val="0"/>
          <w:marTop w:val="96"/>
          <w:marBottom w:val="0"/>
          <w:divBdr>
            <w:top w:val="none" w:sz="0" w:space="0" w:color="auto"/>
            <w:left w:val="none" w:sz="0" w:space="0" w:color="auto"/>
            <w:bottom w:val="none" w:sz="0" w:space="0" w:color="auto"/>
            <w:right w:val="none" w:sz="0" w:space="0" w:color="auto"/>
          </w:divBdr>
        </w:div>
        <w:div w:id="243615706">
          <w:marLeft w:val="547"/>
          <w:marRight w:val="0"/>
          <w:marTop w:val="96"/>
          <w:marBottom w:val="0"/>
          <w:divBdr>
            <w:top w:val="none" w:sz="0" w:space="0" w:color="auto"/>
            <w:left w:val="none" w:sz="0" w:space="0" w:color="auto"/>
            <w:bottom w:val="none" w:sz="0" w:space="0" w:color="auto"/>
            <w:right w:val="none" w:sz="0" w:space="0" w:color="auto"/>
          </w:divBdr>
        </w:div>
        <w:div w:id="312031098">
          <w:marLeft w:val="547"/>
          <w:marRight w:val="0"/>
          <w:marTop w:val="96"/>
          <w:marBottom w:val="0"/>
          <w:divBdr>
            <w:top w:val="none" w:sz="0" w:space="0" w:color="auto"/>
            <w:left w:val="none" w:sz="0" w:space="0" w:color="auto"/>
            <w:bottom w:val="none" w:sz="0" w:space="0" w:color="auto"/>
            <w:right w:val="none" w:sz="0" w:space="0" w:color="auto"/>
          </w:divBdr>
        </w:div>
        <w:div w:id="485627913">
          <w:marLeft w:val="547"/>
          <w:marRight w:val="0"/>
          <w:marTop w:val="96"/>
          <w:marBottom w:val="0"/>
          <w:divBdr>
            <w:top w:val="none" w:sz="0" w:space="0" w:color="auto"/>
            <w:left w:val="none" w:sz="0" w:space="0" w:color="auto"/>
            <w:bottom w:val="none" w:sz="0" w:space="0" w:color="auto"/>
            <w:right w:val="none" w:sz="0" w:space="0" w:color="auto"/>
          </w:divBdr>
        </w:div>
        <w:div w:id="950892127">
          <w:marLeft w:val="547"/>
          <w:marRight w:val="0"/>
          <w:marTop w:val="96"/>
          <w:marBottom w:val="0"/>
          <w:divBdr>
            <w:top w:val="none" w:sz="0" w:space="0" w:color="auto"/>
            <w:left w:val="none" w:sz="0" w:space="0" w:color="auto"/>
            <w:bottom w:val="none" w:sz="0" w:space="0" w:color="auto"/>
            <w:right w:val="none" w:sz="0" w:space="0" w:color="auto"/>
          </w:divBdr>
        </w:div>
      </w:divsChild>
    </w:div>
    <w:div w:id="1109469155">
      <w:bodyDiv w:val="1"/>
      <w:marLeft w:val="0"/>
      <w:marRight w:val="0"/>
      <w:marTop w:val="0"/>
      <w:marBottom w:val="0"/>
      <w:divBdr>
        <w:top w:val="none" w:sz="0" w:space="0" w:color="auto"/>
        <w:left w:val="none" w:sz="0" w:space="0" w:color="auto"/>
        <w:bottom w:val="none" w:sz="0" w:space="0" w:color="auto"/>
        <w:right w:val="none" w:sz="0" w:space="0" w:color="auto"/>
      </w:divBdr>
      <w:divsChild>
        <w:div w:id="1491629826">
          <w:marLeft w:val="0"/>
          <w:marRight w:val="0"/>
          <w:marTop w:val="0"/>
          <w:marBottom w:val="0"/>
          <w:divBdr>
            <w:top w:val="none" w:sz="0" w:space="0" w:color="auto"/>
            <w:left w:val="none" w:sz="0" w:space="0" w:color="auto"/>
            <w:bottom w:val="none" w:sz="0" w:space="0" w:color="auto"/>
            <w:right w:val="none" w:sz="0" w:space="0" w:color="auto"/>
          </w:divBdr>
          <w:divsChild>
            <w:div w:id="328678543">
              <w:marLeft w:val="0"/>
              <w:marRight w:val="0"/>
              <w:marTop w:val="0"/>
              <w:marBottom w:val="0"/>
              <w:divBdr>
                <w:top w:val="none" w:sz="0" w:space="0" w:color="auto"/>
                <w:left w:val="none" w:sz="0" w:space="0" w:color="auto"/>
                <w:bottom w:val="none" w:sz="0" w:space="0" w:color="auto"/>
                <w:right w:val="none" w:sz="0" w:space="0" w:color="auto"/>
              </w:divBdr>
              <w:divsChild>
                <w:div w:id="93477701">
                  <w:marLeft w:val="0"/>
                  <w:marRight w:val="0"/>
                  <w:marTop w:val="0"/>
                  <w:marBottom w:val="0"/>
                  <w:divBdr>
                    <w:top w:val="none" w:sz="0" w:space="0" w:color="auto"/>
                    <w:left w:val="none" w:sz="0" w:space="0" w:color="auto"/>
                    <w:bottom w:val="none" w:sz="0" w:space="0" w:color="auto"/>
                    <w:right w:val="none" w:sz="0" w:space="0" w:color="auto"/>
                  </w:divBdr>
                  <w:divsChild>
                    <w:div w:id="1326326453">
                      <w:marLeft w:val="0"/>
                      <w:marRight w:val="0"/>
                      <w:marTop w:val="0"/>
                      <w:marBottom w:val="0"/>
                      <w:divBdr>
                        <w:top w:val="none" w:sz="0" w:space="0" w:color="auto"/>
                        <w:left w:val="none" w:sz="0" w:space="0" w:color="auto"/>
                        <w:bottom w:val="none" w:sz="0" w:space="0" w:color="auto"/>
                        <w:right w:val="none" w:sz="0" w:space="0" w:color="auto"/>
                      </w:divBdr>
                      <w:divsChild>
                        <w:div w:id="335115701">
                          <w:marLeft w:val="0"/>
                          <w:marRight w:val="0"/>
                          <w:marTop w:val="0"/>
                          <w:marBottom w:val="0"/>
                          <w:divBdr>
                            <w:top w:val="none" w:sz="0" w:space="0" w:color="auto"/>
                            <w:left w:val="none" w:sz="0" w:space="0" w:color="auto"/>
                            <w:bottom w:val="none" w:sz="0" w:space="0" w:color="auto"/>
                            <w:right w:val="none" w:sz="0" w:space="0" w:color="auto"/>
                          </w:divBdr>
                          <w:divsChild>
                            <w:div w:id="6597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874573">
      <w:bodyDiv w:val="1"/>
      <w:marLeft w:val="0"/>
      <w:marRight w:val="0"/>
      <w:marTop w:val="0"/>
      <w:marBottom w:val="0"/>
      <w:divBdr>
        <w:top w:val="none" w:sz="0" w:space="0" w:color="auto"/>
        <w:left w:val="none" w:sz="0" w:space="0" w:color="auto"/>
        <w:bottom w:val="none" w:sz="0" w:space="0" w:color="auto"/>
        <w:right w:val="none" w:sz="0" w:space="0" w:color="auto"/>
      </w:divBdr>
      <w:divsChild>
        <w:div w:id="365716872">
          <w:marLeft w:val="547"/>
          <w:marRight w:val="0"/>
          <w:marTop w:val="240"/>
          <w:marBottom w:val="0"/>
          <w:divBdr>
            <w:top w:val="none" w:sz="0" w:space="0" w:color="auto"/>
            <w:left w:val="none" w:sz="0" w:space="0" w:color="auto"/>
            <w:bottom w:val="none" w:sz="0" w:space="0" w:color="auto"/>
            <w:right w:val="none" w:sz="0" w:space="0" w:color="auto"/>
          </w:divBdr>
        </w:div>
      </w:divsChild>
    </w:div>
    <w:div w:id="1181435684">
      <w:bodyDiv w:val="1"/>
      <w:marLeft w:val="0"/>
      <w:marRight w:val="0"/>
      <w:marTop w:val="0"/>
      <w:marBottom w:val="0"/>
      <w:divBdr>
        <w:top w:val="none" w:sz="0" w:space="0" w:color="auto"/>
        <w:left w:val="none" w:sz="0" w:space="0" w:color="auto"/>
        <w:bottom w:val="none" w:sz="0" w:space="0" w:color="auto"/>
        <w:right w:val="none" w:sz="0" w:space="0" w:color="auto"/>
      </w:divBdr>
      <w:divsChild>
        <w:div w:id="151794951">
          <w:marLeft w:val="547"/>
          <w:marRight w:val="0"/>
          <w:marTop w:val="115"/>
          <w:marBottom w:val="0"/>
          <w:divBdr>
            <w:top w:val="none" w:sz="0" w:space="0" w:color="auto"/>
            <w:left w:val="none" w:sz="0" w:space="0" w:color="auto"/>
            <w:bottom w:val="none" w:sz="0" w:space="0" w:color="auto"/>
            <w:right w:val="none" w:sz="0" w:space="0" w:color="auto"/>
          </w:divBdr>
        </w:div>
        <w:div w:id="212891541">
          <w:marLeft w:val="547"/>
          <w:marRight w:val="0"/>
          <w:marTop w:val="115"/>
          <w:marBottom w:val="0"/>
          <w:divBdr>
            <w:top w:val="none" w:sz="0" w:space="0" w:color="auto"/>
            <w:left w:val="none" w:sz="0" w:space="0" w:color="auto"/>
            <w:bottom w:val="none" w:sz="0" w:space="0" w:color="auto"/>
            <w:right w:val="none" w:sz="0" w:space="0" w:color="auto"/>
          </w:divBdr>
        </w:div>
        <w:div w:id="1920404171">
          <w:marLeft w:val="547"/>
          <w:marRight w:val="0"/>
          <w:marTop w:val="115"/>
          <w:marBottom w:val="0"/>
          <w:divBdr>
            <w:top w:val="none" w:sz="0" w:space="0" w:color="auto"/>
            <w:left w:val="none" w:sz="0" w:space="0" w:color="auto"/>
            <w:bottom w:val="none" w:sz="0" w:space="0" w:color="auto"/>
            <w:right w:val="none" w:sz="0" w:space="0" w:color="auto"/>
          </w:divBdr>
        </w:div>
        <w:div w:id="2006744658">
          <w:marLeft w:val="547"/>
          <w:marRight w:val="0"/>
          <w:marTop w:val="115"/>
          <w:marBottom w:val="0"/>
          <w:divBdr>
            <w:top w:val="none" w:sz="0" w:space="0" w:color="auto"/>
            <w:left w:val="none" w:sz="0" w:space="0" w:color="auto"/>
            <w:bottom w:val="none" w:sz="0" w:space="0" w:color="auto"/>
            <w:right w:val="none" w:sz="0" w:space="0" w:color="auto"/>
          </w:divBdr>
        </w:div>
      </w:divsChild>
    </w:div>
    <w:div w:id="1203639456">
      <w:bodyDiv w:val="1"/>
      <w:marLeft w:val="0"/>
      <w:marRight w:val="0"/>
      <w:marTop w:val="0"/>
      <w:marBottom w:val="0"/>
      <w:divBdr>
        <w:top w:val="none" w:sz="0" w:space="0" w:color="auto"/>
        <w:left w:val="none" w:sz="0" w:space="0" w:color="auto"/>
        <w:bottom w:val="none" w:sz="0" w:space="0" w:color="auto"/>
        <w:right w:val="none" w:sz="0" w:space="0" w:color="auto"/>
      </w:divBdr>
      <w:divsChild>
        <w:div w:id="605505459">
          <w:marLeft w:val="547"/>
          <w:marRight w:val="0"/>
          <w:marTop w:val="240"/>
          <w:marBottom w:val="0"/>
          <w:divBdr>
            <w:top w:val="none" w:sz="0" w:space="0" w:color="auto"/>
            <w:left w:val="none" w:sz="0" w:space="0" w:color="auto"/>
            <w:bottom w:val="none" w:sz="0" w:space="0" w:color="auto"/>
            <w:right w:val="none" w:sz="0" w:space="0" w:color="auto"/>
          </w:divBdr>
        </w:div>
      </w:divsChild>
    </w:div>
    <w:div w:id="1329747213">
      <w:bodyDiv w:val="1"/>
      <w:marLeft w:val="0"/>
      <w:marRight w:val="0"/>
      <w:marTop w:val="0"/>
      <w:marBottom w:val="0"/>
      <w:divBdr>
        <w:top w:val="none" w:sz="0" w:space="0" w:color="auto"/>
        <w:left w:val="none" w:sz="0" w:space="0" w:color="auto"/>
        <w:bottom w:val="none" w:sz="0" w:space="0" w:color="auto"/>
        <w:right w:val="none" w:sz="0" w:space="0" w:color="auto"/>
      </w:divBdr>
      <w:divsChild>
        <w:div w:id="713848359">
          <w:marLeft w:val="547"/>
          <w:marRight w:val="0"/>
          <w:marTop w:val="96"/>
          <w:marBottom w:val="0"/>
          <w:divBdr>
            <w:top w:val="none" w:sz="0" w:space="0" w:color="auto"/>
            <w:left w:val="none" w:sz="0" w:space="0" w:color="auto"/>
            <w:bottom w:val="none" w:sz="0" w:space="0" w:color="auto"/>
            <w:right w:val="none" w:sz="0" w:space="0" w:color="auto"/>
          </w:divBdr>
        </w:div>
        <w:div w:id="1213150739">
          <w:marLeft w:val="547"/>
          <w:marRight w:val="0"/>
          <w:marTop w:val="96"/>
          <w:marBottom w:val="0"/>
          <w:divBdr>
            <w:top w:val="none" w:sz="0" w:space="0" w:color="auto"/>
            <w:left w:val="none" w:sz="0" w:space="0" w:color="auto"/>
            <w:bottom w:val="none" w:sz="0" w:space="0" w:color="auto"/>
            <w:right w:val="none" w:sz="0" w:space="0" w:color="auto"/>
          </w:divBdr>
        </w:div>
        <w:div w:id="2009207641">
          <w:marLeft w:val="547"/>
          <w:marRight w:val="0"/>
          <w:marTop w:val="96"/>
          <w:marBottom w:val="0"/>
          <w:divBdr>
            <w:top w:val="none" w:sz="0" w:space="0" w:color="auto"/>
            <w:left w:val="none" w:sz="0" w:space="0" w:color="auto"/>
            <w:bottom w:val="none" w:sz="0" w:space="0" w:color="auto"/>
            <w:right w:val="none" w:sz="0" w:space="0" w:color="auto"/>
          </w:divBdr>
        </w:div>
        <w:div w:id="2120446335">
          <w:marLeft w:val="547"/>
          <w:marRight w:val="0"/>
          <w:marTop w:val="96"/>
          <w:marBottom w:val="0"/>
          <w:divBdr>
            <w:top w:val="none" w:sz="0" w:space="0" w:color="auto"/>
            <w:left w:val="none" w:sz="0" w:space="0" w:color="auto"/>
            <w:bottom w:val="none" w:sz="0" w:space="0" w:color="auto"/>
            <w:right w:val="none" w:sz="0" w:space="0" w:color="auto"/>
          </w:divBdr>
        </w:div>
      </w:divsChild>
    </w:div>
    <w:div w:id="1484347364">
      <w:bodyDiv w:val="1"/>
      <w:marLeft w:val="0"/>
      <w:marRight w:val="0"/>
      <w:marTop w:val="0"/>
      <w:marBottom w:val="0"/>
      <w:divBdr>
        <w:top w:val="none" w:sz="0" w:space="0" w:color="auto"/>
        <w:left w:val="none" w:sz="0" w:space="0" w:color="auto"/>
        <w:bottom w:val="none" w:sz="0" w:space="0" w:color="auto"/>
        <w:right w:val="none" w:sz="0" w:space="0" w:color="auto"/>
      </w:divBdr>
    </w:div>
    <w:div w:id="1758863282">
      <w:bodyDiv w:val="1"/>
      <w:marLeft w:val="0"/>
      <w:marRight w:val="0"/>
      <w:marTop w:val="0"/>
      <w:marBottom w:val="0"/>
      <w:divBdr>
        <w:top w:val="none" w:sz="0" w:space="0" w:color="auto"/>
        <w:left w:val="none" w:sz="0" w:space="0" w:color="auto"/>
        <w:bottom w:val="none" w:sz="0" w:space="0" w:color="auto"/>
        <w:right w:val="none" w:sz="0" w:space="0" w:color="auto"/>
      </w:divBdr>
      <w:divsChild>
        <w:div w:id="62721658">
          <w:marLeft w:val="547"/>
          <w:marRight w:val="0"/>
          <w:marTop w:val="240"/>
          <w:marBottom w:val="0"/>
          <w:divBdr>
            <w:top w:val="none" w:sz="0" w:space="0" w:color="auto"/>
            <w:left w:val="none" w:sz="0" w:space="0" w:color="auto"/>
            <w:bottom w:val="none" w:sz="0" w:space="0" w:color="auto"/>
            <w:right w:val="none" w:sz="0" w:space="0" w:color="auto"/>
          </w:divBdr>
        </w:div>
      </w:divsChild>
    </w:div>
    <w:div w:id="1908999292">
      <w:bodyDiv w:val="1"/>
      <w:marLeft w:val="0"/>
      <w:marRight w:val="0"/>
      <w:marTop w:val="0"/>
      <w:marBottom w:val="0"/>
      <w:divBdr>
        <w:top w:val="none" w:sz="0" w:space="0" w:color="auto"/>
        <w:left w:val="none" w:sz="0" w:space="0" w:color="auto"/>
        <w:bottom w:val="none" w:sz="0" w:space="0" w:color="auto"/>
        <w:right w:val="none" w:sz="0" w:space="0" w:color="auto"/>
      </w:divBdr>
      <w:divsChild>
        <w:div w:id="68579276">
          <w:marLeft w:val="547"/>
          <w:marRight w:val="0"/>
          <w:marTop w:val="86"/>
          <w:marBottom w:val="0"/>
          <w:divBdr>
            <w:top w:val="none" w:sz="0" w:space="0" w:color="auto"/>
            <w:left w:val="none" w:sz="0" w:space="0" w:color="auto"/>
            <w:bottom w:val="none" w:sz="0" w:space="0" w:color="auto"/>
            <w:right w:val="none" w:sz="0" w:space="0" w:color="auto"/>
          </w:divBdr>
        </w:div>
        <w:div w:id="1022047926">
          <w:marLeft w:val="547"/>
          <w:marRight w:val="0"/>
          <w:marTop w:val="86"/>
          <w:marBottom w:val="0"/>
          <w:divBdr>
            <w:top w:val="none" w:sz="0" w:space="0" w:color="auto"/>
            <w:left w:val="none" w:sz="0" w:space="0" w:color="auto"/>
            <w:bottom w:val="none" w:sz="0" w:space="0" w:color="auto"/>
            <w:right w:val="none" w:sz="0" w:space="0" w:color="auto"/>
          </w:divBdr>
        </w:div>
        <w:div w:id="1454985160">
          <w:marLeft w:val="547"/>
          <w:marRight w:val="0"/>
          <w:marTop w:val="86"/>
          <w:marBottom w:val="0"/>
          <w:divBdr>
            <w:top w:val="none" w:sz="0" w:space="0" w:color="auto"/>
            <w:left w:val="none" w:sz="0" w:space="0" w:color="auto"/>
            <w:bottom w:val="none" w:sz="0" w:space="0" w:color="auto"/>
            <w:right w:val="none" w:sz="0" w:space="0" w:color="auto"/>
          </w:divBdr>
        </w:div>
        <w:div w:id="154366472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6522D4C7FE56341A02F819AE42E43B0" ma:contentTypeVersion="0" ma:contentTypeDescription="Yeni belge oluşturun." ma:contentTypeScope="" ma:versionID="63ddf5b260d5536c86bc350d09631d79">
  <xsd:schema xmlns:xsd="http://www.w3.org/2001/XMLSchema" xmlns:xs="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F4C3-78B1-4472-9B8F-BC1379DEC1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A93732-EE5B-4426-A7DF-4103F9EF78E6}">
  <ds:schemaRefs>
    <ds:schemaRef ds:uri="http://schemas.microsoft.com/sharepoint/v3/contenttype/forms"/>
  </ds:schemaRefs>
</ds:datastoreItem>
</file>

<file path=customXml/itemProps3.xml><?xml version="1.0" encoding="utf-8"?>
<ds:datastoreItem xmlns:ds="http://schemas.openxmlformats.org/officeDocument/2006/customXml" ds:itemID="{FBF842C1-9841-467A-9003-5ECCD0E1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648A32-307C-4AA7-811C-5015CDC3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Türkiye Bankacılık Sistemi ,</vt:lpstr>
    </vt:vector>
  </TitlesOfParts>
  <Company>tbb</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Bankacılık Sistemi ,</dc:title>
  <dc:creator>alpan</dc:creator>
  <cp:lastModifiedBy>Aslı Özaktan</cp:lastModifiedBy>
  <cp:revision>2</cp:revision>
  <cp:lastPrinted>2015-12-04T14:15:00Z</cp:lastPrinted>
  <dcterms:created xsi:type="dcterms:W3CDTF">2015-12-10T08:03:00Z</dcterms:created>
  <dcterms:modified xsi:type="dcterms:W3CDTF">2015-12-10T08:03:00Z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0x01010016522D4C7FE56341A02F819AE42E43B0</vt:lpwstr>
  </property>
</Properties>
</file>