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730" w:rsidRPr="004F1241" w:rsidRDefault="009B1730" w:rsidP="00E032C0">
      <w:pPr>
        <w:pStyle w:val="Title"/>
        <w:rPr>
          <w:rFonts w:ascii="Arial" w:hAnsi="Arial" w:cs="Arial"/>
          <w:sz w:val="28"/>
          <w:szCs w:val="28"/>
        </w:rPr>
      </w:pPr>
      <w:bookmarkStart w:id="0" w:name="_GoBack"/>
      <w:bookmarkEnd w:id="0"/>
      <w:r w:rsidRPr="004F1241">
        <w:rPr>
          <w:rFonts w:ascii="Arial" w:hAnsi="Arial" w:cs="Arial"/>
          <w:bCs/>
          <w:sz w:val="28"/>
          <w:szCs w:val="28"/>
        </w:rPr>
        <w:t>Banking System in Turkey</w:t>
      </w:r>
      <w:r w:rsidRPr="004F1241">
        <w:rPr>
          <w:rFonts w:ascii="Arial" w:hAnsi="Arial" w:cs="Arial"/>
          <w:b w:val="0"/>
          <w:bCs/>
          <w:sz w:val="28"/>
          <w:szCs w:val="28"/>
        </w:rPr>
        <w:t xml:space="preserve"> </w:t>
      </w:r>
      <w:r w:rsidRPr="004F1241">
        <w:rPr>
          <w:rStyle w:val="FootnoteReference"/>
          <w:rFonts w:ascii="Arial" w:hAnsi="Arial" w:cs="Arial"/>
          <w:sz w:val="28"/>
          <w:szCs w:val="28"/>
        </w:rPr>
        <w:footnoteReference w:id="1"/>
      </w:r>
    </w:p>
    <w:p w:rsidR="004F1241" w:rsidRDefault="004F1241" w:rsidP="00E032C0">
      <w:pPr>
        <w:pStyle w:val="Title"/>
        <w:rPr>
          <w:rFonts w:ascii="Arial" w:hAnsi="Arial" w:cs="Arial"/>
          <w:sz w:val="28"/>
          <w:szCs w:val="28"/>
        </w:rPr>
      </w:pPr>
    </w:p>
    <w:p w:rsidR="009B1730" w:rsidRPr="004F1241" w:rsidRDefault="00EF1F7A" w:rsidP="00E032C0">
      <w:pPr>
        <w:pStyle w:val="Title"/>
        <w:rPr>
          <w:rFonts w:ascii="Arial" w:hAnsi="Arial" w:cs="Arial"/>
          <w:sz w:val="28"/>
          <w:szCs w:val="28"/>
        </w:rPr>
      </w:pPr>
      <w:r w:rsidRPr="004F1241">
        <w:rPr>
          <w:rFonts w:ascii="Arial" w:hAnsi="Arial" w:cs="Arial"/>
          <w:sz w:val="28"/>
          <w:szCs w:val="28"/>
        </w:rPr>
        <w:t>“</w:t>
      </w:r>
      <w:r w:rsidR="00E3486E">
        <w:rPr>
          <w:rFonts w:ascii="Arial" w:hAnsi="Arial" w:cs="Arial"/>
          <w:sz w:val="28"/>
          <w:szCs w:val="28"/>
        </w:rPr>
        <w:t>June</w:t>
      </w:r>
      <w:r w:rsidR="003D4D00" w:rsidRPr="004F1241">
        <w:rPr>
          <w:rFonts w:ascii="Arial" w:hAnsi="Arial" w:cs="Arial"/>
          <w:sz w:val="28"/>
          <w:szCs w:val="28"/>
        </w:rPr>
        <w:t xml:space="preserve"> 201</w:t>
      </w:r>
      <w:r w:rsidR="006651CF" w:rsidRPr="004F1241">
        <w:rPr>
          <w:rFonts w:ascii="Arial" w:hAnsi="Arial" w:cs="Arial"/>
          <w:sz w:val="28"/>
          <w:szCs w:val="28"/>
        </w:rPr>
        <w:t>4</w:t>
      </w:r>
      <w:r w:rsidR="009B1730" w:rsidRPr="004F1241">
        <w:rPr>
          <w:rFonts w:ascii="Arial" w:hAnsi="Arial" w:cs="Arial"/>
          <w:sz w:val="28"/>
          <w:szCs w:val="28"/>
        </w:rPr>
        <w:t>”</w:t>
      </w:r>
    </w:p>
    <w:p w:rsidR="00F51DEA" w:rsidRPr="00AF09CB" w:rsidRDefault="00F51DEA" w:rsidP="007551FF">
      <w:pPr>
        <w:pStyle w:val="BodyText"/>
        <w:rPr>
          <w:rFonts w:ascii="Arial" w:hAnsi="Arial" w:cs="Arial"/>
          <w:b/>
          <w:sz w:val="22"/>
          <w:szCs w:val="22"/>
          <w:lang w:val="en-US"/>
        </w:rPr>
      </w:pPr>
    </w:p>
    <w:p w:rsidR="00F95457" w:rsidRPr="00AF09CB" w:rsidRDefault="00F95457" w:rsidP="007551FF">
      <w:pPr>
        <w:pStyle w:val="BodyText"/>
        <w:rPr>
          <w:rFonts w:ascii="Arial" w:hAnsi="Arial" w:cs="Arial"/>
          <w:b/>
          <w:sz w:val="22"/>
          <w:szCs w:val="22"/>
          <w:lang w:val="en-US"/>
        </w:rPr>
      </w:pPr>
    </w:p>
    <w:p w:rsidR="009B1730" w:rsidRPr="00AF09CB" w:rsidRDefault="009B1730" w:rsidP="007551FF">
      <w:pPr>
        <w:jc w:val="both"/>
        <w:rPr>
          <w:rFonts w:ascii="Arial" w:hAnsi="Arial" w:cs="Arial"/>
          <w:b/>
          <w:bCs/>
          <w:lang w:val="en-US"/>
        </w:rPr>
      </w:pPr>
      <w:r w:rsidRPr="00AF09CB">
        <w:rPr>
          <w:rFonts w:ascii="Arial" w:hAnsi="Arial" w:cs="Arial"/>
          <w:b/>
          <w:bCs/>
          <w:lang w:val="en-US"/>
        </w:rPr>
        <w:t xml:space="preserve">Developments in the Banking Sector </w:t>
      </w:r>
    </w:p>
    <w:p w:rsidR="009B1730" w:rsidRPr="00AF09CB" w:rsidRDefault="009B1730" w:rsidP="007551FF">
      <w:pPr>
        <w:jc w:val="both"/>
        <w:rPr>
          <w:rFonts w:ascii="Arial" w:hAnsi="Arial" w:cs="Arial"/>
          <w:sz w:val="22"/>
          <w:szCs w:val="22"/>
          <w:lang w:val="en-US"/>
        </w:rPr>
      </w:pPr>
    </w:p>
    <w:p w:rsidR="009B1730" w:rsidRPr="00AF09CB" w:rsidRDefault="009B1730" w:rsidP="007551FF">
      <w:pPr>
        <w:jc w:val="both"/>
        <w:rPr>
          <w:rFonts w:ascii="Arial" w:hAnsi="Arial" w:cs="Arial"/>
          <w:b/>
          <w:sz w:val="22"/>
          <w:szCs w:val="22"/>
          <w:lang w:val="en-US"/>
        </w:rPr>
      </w:pPr>
      <w:r w:rsidRPr="00AF09CB">
        <w:rPr>
          <w:rFonts w:ascii="Arial" w:hAnsi="Arial" w:cs="Arial"/>
          <w:b/>
          <w:sz w:val="22"/>
          <w:szCs w:val="22"/>
          <w:lang w:val="en-US"/>
        </w:rPr>
        <w:t>1. General Outlook</w:t>
      </w:r>
    </w:p>
    <w:p w:rsidR="005E62FB" w:rsidRPr="00AF09CB" w:rsidRDefault="005E62FB" w:rsidP="007551FF">
      <w:pPr>
        <w:jc w:val="both"/>
        <w:rPr>
          <w:rFonts w:ascii="Arial" w:hAnsi="Arial" w:cs="Arial"/>
          <w:b/>
          <w:sz w:val="22"/>
          <w:szCs w:val="22"/>
          <w:lang w:val="en-US"/>
        </w:rPr>
      </w:pPr>
    </w:p>
    <w:p w:rsidR="00427195" w:rsidRPr="00427195" w:rsidRDefault="005E62FB" w:rsidP="00427195">
      <w:pPr>
        <w:jc w:val="both"/>
        <w:rPr>
          <w:rFonts w:ascii="Arial" w:hAnsi="Arial" w:cs="Arial"/>
          <w:sz w:val="22"/>
          <w:szCs w:val="22"/>
          <w:lang w:val="en-US"/>
        </w:rPr>
      </w:pPr>
      <w:r w:rsidRPr="00AF09CB">
        <w:rPr>
          <w:rFonts w:ascii="Arial" w:hAnsi="Arial" w:cs="Arial"/>
          <w:sz w:val="22"/>
          <w:szCs w:val="22"/>
          <w:lang w:val="en-US"/>
        </w:rPr>
        <w:t>Global risks still remained significant and the monetary policy of the Federal Reserve (FED</w:t>
      </w:r>
      <w:r w:rsidR="00427195" w:rsidRPr="00AF09CB">
        <w:rPr>
          <w:rFonts w:ascii="Arial" w:hAnsi="Arial" w:cs="Arial"/>
          <w:sz w:val="22"/>
          <w:szCs w:val="22"/>
          <w:lang w:val="en-US"/>
        </w:rPr>
        <w:t>) and</w:t>
      </w:r>
      <w:r w:rsidRPr="00AF09CB">
        <w:rPr>
          <w:rFonts w:ascii="Arial" w:hAnsi="Arial" w:cs="Arial"/>
          <w:sz w:val="22"/>
          <w:szCs w:val="22"/>
          <w:lang w:val="en-US"/>
        </w:rPr>
        <w:t xml:space="preserve"> European Central Bank (ECB) continued to diverge.</w:t>
      </w:r>
      <w:r w:rsidR="007856C4" w:rsidRPr="00AF09CB">
        <w:rPr>
          <w:rFonts w:ascii="Arial" w:hAnsi="Arial" w:cs="Arial"/>
          <w:sz w:val="22"/>
          <w:szCs w:val="22"/>
          <w:lang w:val="en-US"/>
        </w:rPr>
        <w:t xml:space="preserve"> While growth and inflation stayed above expectations in Turkey, an improvement in the current account deficit has continued despite geopolitical risks. Additionally, funding costs increased in the banking sector. Strong corporate credit growth continued, however, individual credit growth </w:t>
      </w:r>
      <w:r w:rsidR="00AF09CB" w:rsidRPr="00AF09CB">
        <w:rPr>
          <w:rFonts w:ascii="Arial" w:hAnsi="Arial" w:cs="Arial"/>
          <w:sz w:val="22"/>
          <w:szCs w:val="22"/>
          <w:lang w:val="en-US"/>
        </w:rPr>
        <w:t>slowed</w:t>
      </w:r>
      <w:r w:rsidR="007856C4" w:rsidRPr="00AF09CB">
        <w:rPr>
          <w:rFonts w:ascii="Arial" w:hAnsi="Arial" w:cs="Arial"/>
          <w:sz w:val="22"/>
          <w:szCs w:val="22"/>
          <w:lang w:val="en-US"/>
        </w:rPr>
        <w:t xml:space="preserve">. </w:t>
      </w:r>
      <w:r w:rsidR="00AF09CB" w:rsidRPr="00AF09CB">
        <w:rPr>
          <w:rFonts w:ascii="Arial" w:hAnsi="Arial" w:cs="Arial"/>
          <w:sz w:val="22"/>
          <w:szCs w:val="22"/>
          <w:lang w:val="en-US"/>
        </w:rPr>
        <w:t>The sector's capital adequacy</w:t>
      </w:r>
      <w:r w:rsidR="00AA170B">
        <w:rPr>
          <w:rFonts w:ascii="Arial" w:hAnsi="Arial" w:cs="Arial"/>
          <w:sz w:val="22"/>
          <w:szCs w:val="22"/>
          <w:lang w:val="en-US"/>
        </w:rPr>
        <w:t xml:space="preserve"> remained high</w:t>
      </w:r>
      <w:r w:rsidR="00AF09CB" w:rsidRPr="00AF09CB">
        <w:rPr>
          <w:rFonts w:ascii="Arial" w:hAnsi="Arial" w:cs="Arial"/>
          <w:sz w:val="22"/>
          <w:szCs w:val="22"/>
          <w:lang w:val="en-US"/>
        </w:rPr>
        <w:t xml:space="preserve"> and total profits fell.</w:t>
      </w:r>
      <w:r w:rsidR="00AA170B">
        <w:rPr>
          <w:rFonts w:ascii="Arial" w:hAnsi="Arial" w:cs="Arial"/>
          <w:sz w:val="22"/>
          <w:szCs w:val="22"/>
          <w:lang w:val="en-US"/>
        </w:rPr>
        <w:t xml:space="preserve"> </w:t>
      </w:r>
      <w:r w:rsidR="00427195" w:rsidRPr="00427195">
        <w:rPr>
          <w:rFonts w:ascii="Arial" w:hAnsi="Arial" w:cs="Arial"/>
          <w:sz w:val="22"/>
          <w:szCs w:val="22"/>
          <w:lang w:val="en-US"/>
        </w:rPr>
        <w:t xml:space="preserve">The pace of increase in the number of branches and </w:t>
      </w:r>
      <w:r w:rsidR="006A1A10">
        <w:rPr>
          <w:rFonts w:ascii="Arial" w:hAnsi="Arial" w:cs="Arial"/>
          <w:sz w:val="22"/>
          <w:szCs w:val="22"/>
          <w:lang w:val="en-US"/>
        </w:rPr>
        <w:t>employment</w:t>
      </w:r>
      <w:r w:rsidR="00427195" w:rsidRPr="00427195">
        <w:rPr>
          <w:rFonts w:ascii="Arial" w:hAnsi="Arial" w:cs="Arial"/>
          <w:sz w:val="22"/>
          <w:szCs w:val="22"/>
          <w:lang w:val="en-US"/>
        </w:rPr>
        <w:t xml:space="preserve"> slowed down.</w:t>
      </w:r>
    </w:p>
    <w:p w:rsidR="007856C4" w:rsidRDefault="007856C4" w:rsidP="007856C4"/>
    <w:p w:rsidR="00601F6C" w:rsidRPr="00601F6C" w:rsidRDefault="00601F6C" w:rsidP="00601F6C">
      <w:pPr>
        <w:jc w:val="both"/>
        <w:rPr>
          <w:rFonts w:ascii="Arial" w:hAnsi="Arial" w:cs="Arial"/>
          <w:b/>
          <w:sz w:val="22"/>
          <w:szCs w:val="22"/>
          <w:lang w:val="en-US"/>
        </w:rPr>
      </w:pPr>
      <w:r w:rsidRPr="00601F6C">
        <w:rPr>
          <w:rFonts w:ascii="Arial" w:hAnsi="Arial" w:cs="Arial"/>
          <w:b/>
          <w:sz w:val="22"/>
          <w:szCs w:val="22"/>
          <w:lang w:val="en-US"/>
        </w:rPr>
        <w:t>Policy of developed countries’ central banks continued</w:t>
      </w:r>
      <w:r w:rsidRPr="00591D1E">
        <w:rPr>
          <w:rFonts w:ascii="Arial" w:hAnsi="Arial" w:cs="Arial"/>
          <w:b/>
          <w:sz w:val="22"/>
          <w:szCs w:val="22"/>
          <w:lang w:val="en-US"/>
        </w:rPr>
        <w:t xml:space="preserve"> </w:t>
      </w:r>
      <w:r w:rsidRPr="00601F6C">
        <w:rPr>
          <w:rFonts w:ascii="Arial" w:hAnsi="Arial" w:cs="Arial"/>
          <w:b/>
          <w:sz w:val="22"/>
          <w:szCs w:val="22"/>
          <w:lang w:val="en-US"/>
        </w:rPr>
        <w:t>to dominate to global economy</w:t>
      </w:r>
    </w:p>
    <w:p w:rsidR="00582DE9" w:rsidRPr="00E3486E" w:rsidRDefault="00582DE9" w:rsidP="006651CF">
      <w:pPr>
        <w:jc w:val="both"/>
        <w:rPr>
          <w:rFonts w:ascii="Arial" w:hAnsi="Arial" w:cs="Arial"/>
          <w:b/>
          <w:color w:val="FF0000"/>
          <w:sz w:val="22"/>
          <w:szCs w:val="22"/>
          <w:lang w:val="en-US"/>
        </w:rPr>
      </w:pPr>
    </w:p>
    <w:p w:rsidR="00237338" w:rsidRDefault="00237338" w:rsidP="00237338">
      <w:pPr>
        <w:pStyle w:val="BodyText"/>
        <w:rPr>
          <w:rFonts w:ascii="Arial" w:hAnsi="Arial" w:cs="Arial"/>
          <w:sz w:val="22"/>
          <w:szCs w:val="22"/>
          <w:lang w:val="en-US"/>
        </w:rPr>
      </w:pPr>
      <w:r w:rsidRPr="00237338">
        <w:rPr>
          <w:rFonts w:ascii="Arial" w:hAnsi="Arial" w:cs="Arial"/>
          <w:sz w:val="22"/>
          <w:szCs w:val="22"/>
          <w:lang w:val="en-US"/>
        </w:rPr>
        <w:t>In the second quarter of 2014, due to the recovery in the U.S. economy, especially in labor market, tapering has continued. Also, it is expected that Federal Reserve to hike interest rates sooner than expected.</w:t>
      </w:r>
    </w:p>
    <w:p w:rsidR="00521FAF" w:rsidRDefault="00521FAF" w:rsidP="00237338">
      <w:pPr>
        <w:pStyle w:val="BodyText"/>
        <w:rPr>
          <w:rFonts w:ascii="Arial" w:hAnsi="Arial" w:cs="Arial"/>
          <w:sz w:val="22"/>
          <w:szCs w:val="22"/>
          <w:lang w:val="en-US"/>
        </w:rPr>
      </w:pPr>
    </w:p>
    <w:p w:rsidR="00603E13" w:rsidRPr="00603E13" w:rsidRDefault="00521FAF" w:rsidP="00603E13">
      <w:pPr>
        <w:pStyle w:val="BodyText"/>
        <w:rPr>
          <w:rFonts w:ascii="Arial" w:hAnsi="Arial" w:cs="Arial"/>
          <w:sz w:val="22"/>
          <w:szCs w:val="22"/>
          <w:lang w:val="en-US"/>
        </w:rPr>
      </w:pPr>
      <w:r w:rsidRPr="00521FAF">
        <w:rPr>
          <w:rFonts w:ascii="Arial" w:hAnsi="Arial" w:cs="Arial"/>
          <w:sz w:val="22"/>
          <w:szCs w:val="22"/>
          <w:lang w:val="en-US"/>
        </w:rPr>
        <w:t>Weak economic recovery in Europe has caused to maintain a loose monetary policy</w:t>
      </w:r>
      <w:r w:rsidR="006A1A10">
        <w:rPr>
          <w:rFonts w:ascii="Arial" w:hAnsi="Arial" w:cs="Arial"/>
          <w:sz w:val="22"/>
          <w:szCs w:val="22"/>
          <w:lang w:val="en-US"/>
        </w:rPr>
        <w:t xml:space="preserve"> by </w:t>
      </w:r>
      <w:r w:rsidR="006A1A10" w:rsidRPr="00521FAF">
        <w:rPr>
          <w:rFonts w:ascii="Arial" w:hAnsi="Arial" w:cs="Arial"/>
          <w:sz w:val="22"/>
          <w:szCs w:val="22"/>
          <w:lang w:val="en-US"/>
        </w:rPr>
        <w:t xml:space="preserve">European Central Bank </w:t>
      </w:r>
      <w:r w:rsidR="006A1A10">
        <w:rPr>
          <w:rFonts w:ascii="Arial" w:hAnsi="Arial" w:cs="Arial"/>
          <w:sz w:val="22"/>
          <w:szCs w:val="22"/>
          <w:lang w:val="en-US"/>
        </w:rPr>
        <w:t>(ECB)</w:t>
      </w:r>
      <w:r w:rsidRPr="00521FAF">
        <w:rPr>
          <w:rFonts w:ascii="Arial" w:hAnsi="Arial" w:cs="Arial"/>
          <w:sz w:val="22"/>
          <w:szCs w:val="22"/>
          <w:lang w:val="en-US"/>
        </w:rPr>
        <w:t>.</w:t>
      </w:r>
      <w:r w:rsidR="00603E13">
        <w:rPr>
          <w:rFonts w:ascii="Arial" w:hAnsi="Arial" w:cs="Arial"/>
          <w:sz w:val="22"/>
          <w:szCs w:val="22"/>
          <w:lang w:val="en-US"/>
        </w:rPr>
        <w:t xml:space="preserve"> </w:t>
      </w:r>
      <w:r w:rsidR="00603E13" w:rsidRPr="00603E13">
        <w:rPr>
          <w:rFonts w:ascii="Arial" w:hAnsi="Arial" w:cs="Arial"/>
          <w:sz w:val="22"/>
          <w:szCs w:val="22"/>
          <w:lang w:val="en-US"/>
        </w:rPr>
        <w:t xml:space="preserve">ECB announced targeted longer-term refinancing operations (TLTROs) aimed at improving bank lending to the </w:t>
      </w:r>
      <w:r w:rsidR="00C9075F">
        <w:rPr>
          <w:rFonts w:ascii="Arial" w:hAnsi="Arial" w:cs="Arial"/>
          <w:sz w:val="22"/>
          <w:szCs w:val="22"/>
          <w:lang w:val="en-US"/>
        </w:rPr>
        <w:t>Euro A</w:t>
      </w:r>
      <w:r w:rsidR="00603E13" w:rsidRPr="00603E13">
        <w:rPr>
          <w:rFonts w:ascii="Arial" w:hAnsi="Arial" w:cs="Arial"/>
          <w:sz w:val="22"/>
          <w:szCs w:val="22"/>
          <w:lang w:val="en-US"/>
        </w:rPr>
        <w:t>rea non-financial private sector</w:t>
      </w:r>
      <w:r w:rsidR="008C2A2D">
        <w:rPr>
          <w:rFonts w:ascii="Arial" w:hAnsi="Arial" w:cs="Arial"/>
          <w:sz w:val="22"/>
          <w:szCs w:val="22"/>
          <w:lang w:val="en-US"/>
        </w:rPr>
        <w:t xml:space="preserve"> and lowered policy rate</w:t>
      </w:r>
      <w:r w:rsidR="00603E13" w:rsidRPr="00603E13">
        <w:rPr>
          <w:rFonts w:ascii="Arial" w:hAnsi="Arial" w:cs="Arial"/>
          <w:sz w:val="22"/>
          <w:szCs w:val="22"/>
          <w:lang w:val="en-US"/>
        </w:rPr>
        <w:t xml:space="preserve">. </w:t>
      </w:r>
    </w:p>
    <w:p w:rsidR="00521FAF" w:rsidRPr="00521FAF" w:rsidRDefault="00521FAF" w:rsidP="005E68B3">
      <w:pPr>
        <w:jc w:val="both"/>
        <w:rPr>
          <w:rFonts w:ascii="Arial" w:hAnsi="Arial" w:cs="Arial"/>
          <w:sz w:val="22"/>
          <w:szCs w:val="22"/>
          <w:lang w:val="en-US"/>
        </w:rPr>
      </w:pPr>
    </w:p>
    <w:p w:rsidR="005E68B3" w:rsidRDefault="00734A42" w:rsidP="005E68B3">
      <w:pPr>
        <w:jc w:val="both"/>
        <w:rPr>
          <w:rFonts w:ascii="Arial" w:hAnsi="Arial" w:cs="Arial"/>
          <w:sz w:val="22"/>
          <w:szCs w:val="22"/>
          <w:lang w:val="en-US"/>
        </w:rPr>
      </w:pPr>
      <w:r w:rsidRPr="00734A42">
        <w:rPr>
          <w:rFonts w:ascii="Arial" w:hAnsi="Arial" w:cs="Arial"/>
          <w:sz w:val="22"/>
          <w:szCs w:val="22"/>
          <w:lang w:val="en-US"/>
        </w:rPr>
        <w:t>Monetary policy decisions and expectations of the developed countries’ central banks impact on developing countries felt in the second half of the year</w:t>
      </w:r>
      <w:r>
        <w:rPr>
          <w:rFonts w:ascii="Arial" w:hAnsi="Arial" w:cs="Arial"/>
          <w:sz w:val="22"/>
          <w:szCs w:val="22"/>
          <w:lang w:val="en-US"/>
        </w:rPr>
        <w:t xml:space="preserve">. </w:t>
      </w:r>
      <w:r w:rsidRPr="00734A42">
        <w:rPr>
          <w:rFonts w:ascii="Arial" w:hAnsi="Arial" w:cs="Arial"/>
          <w:sz w:val="22"/>
          <w:szCs w:val="22"/>
          <w:lang w:val="en-US"/>
        </w:rPr>
        <w:t xml:space="preserve">Reducing asset purchases by the Federal Reserve and </w:t>
      </w:r>
      <w:r w:rsidR="00C9075F">
        <w:rPr>
          <w:rFonts w:ascii="Arial" w:hAnsi="Arial" w:cs="Arial"/>
          <w:sz w:val="22"/>
          <w:szCs w:val="22"/>
          <w:lang w:val="en-US"/>
        </w:rPr>
        <w:t xml:space="preserve">expectation of earlier </w:t>
      </w:r>
      <w:r w:rsidRPr="00734A42">
        <w:rPr>
          <w:rFonts w:ascii="Arial" w:hAnsi="Arial" w:cs="Arial"/>
          <w:sz w:val="22"/>
          <w:szCs w:val="22"/>
          <w:lang w:val="en-US"/>
        </w:rPr>
        <w:t xml:space="preserve">interest rate </w:t>
      </w:r>
      <w:r w:rsidR="00C9075F">
        <w:rPr>
          <w:rFonts w:ascii="Arial" w:hAnsi="Arial" w:cs="Arial"/>
          <w:sz w:val="22"/>
          <w:szCs w:val="22"/>
          <w:lang w:val="en-US"/>
        </w:rPr>
        <w:t>hike</w:t>
      </w:r>
      <w:r w:rsidR="006A1A10">
        <w:rPr>
          <w:rFonts w:ascii="Arial" w:hAnsi="Arial" w:cs="Arial"/>
          <w:sz w:val="22"/>
          <w:szCs w:val="22"/>
          <w:lang w:val="en-US"/>
        </w:rPr>
        <w:t xml:space="preserve"> limited the</w:t>
      </w:r>
      <w:r w:rsidRPr="00734A42">
        <w:rPr>
          <w:rFonts w:ascii="Arial" w:hAnsi="Arial" w:cs="Arial"/>
          <w:sz w:val="22"/>
          <w:szCs w:val="22"/>
          <w:lang w:val="en-US"/>
        </w:rPr>
        <w:t xml:space="preserve"> capital flows to developing countries</w:t>
      </w:r>
      <w:r>
        <w:rPr>
          <w:rFonts w:ascii="Arial" w:hAnsi="Arial" w:cs="Arial"/>
          <w:sz w:val="22"/>
          <w:szCs w:val="22"/>
          <w:lang w:val="en-US"/>
        </w:rPr>
        <w:t xml:space="preserve">. At the same time, </w:t>
      </w:r>
      <w:r w:rsidRPr="00734A42">
        <w:rPr>
          <w:rFonts w:ascii="Arial" w:hAnsi="Arial" w:cs="Arial"/>
          <w:sz w:val="22"/>
          <w:szCs w:val="22"/>
          <w:lang w:val="en-US"/>
        </w:rPr>
        <w:t>the steps taken by the European Central Bank prevented the increase in the risk perception toward these countries.</w:t>
      </w:r>
      <w:r w:rsidR="005E68B3">
        <w:rPr>
          <w:rFonts w:ascii="Arial" w:hAnsi="Arial" w:cs="Arial"/>
          <w:sz w:val="22"/>
          <w:szCs w:val="22"/>
          <w:lang w:val="en-US"/>
        </w:rPr>
        <w:t xml:space="preserve"> </w:t>
      </w:r>
      <w:r w:rsidR="005E68B3" w:rsidRPr="005E68B3">
        <w:rPr>
          <w:rFonts w:ascii="Arial" w:hAnsi="Arial" w:cs="Arial"/>
          <w:sz w:val="22"/>
          <w:szCs w:val="22"/>
          <w:lang w:val="en-US"/>
        </w:rPr>
        <w:t xml:space="preserve">Increasing geopolitical risks has been effective on </w:t>
      </w:r>
      <w:r w:rsidR="00603E28">
        <w:rPr>
          <w:rFonts w:ascii="Arial" w:hAnsi="Arial" w:cs="Arial"/>
          <w:sz w:val="22"/>
          <w:szCs w:val="22"/>
          <w:lang w:val="en-US"/>
        </w:rPr>
        <w:t>m</w:t>
      </w:r>
      <w:r w:rsidR="00603E28" w:rsidRPr="005E68B3">
        <w:rPr>
          <w:rFonts w:ascii="Arial" w:hAnsi="Arial" w:cs="Arial"/>
          <w:sz w:val="22"/>
          <w:szCs w:val="22"/>
          <w:lang w:val="en-US"/>
        </w:rPr>
        <w:t>acroeconomic</w:t>
      </w:r>
      <w:r w:rsidR="005E68B3" w:rsidRPr="005E68B3">
        <w:rPr>
          <w:rFonts w:ascii="Arial" w:hAnsi="Arial" w:cs="Arial"/>
          <w:sz w:val="22"/>
          <w:szCs w:val="22"/>
          <w:lang w:val="en-US"/>
        </w:rPr>
        <w:t xml:space="preserve"> outlook, capital flows and commodity prices.</w:t>
      </w:r>
    </w:p>
    <w:p w:rsidR="00603E28" w:rsidRPr="005E68B3" w:rsidRDefault="00603E28" w:rsidP="005E68B3">
      <w:pPr>
        <w:jc w:val="both"/>
        <w:rPr>
          <w:rFonts w:ascii="Arial" w:hAnsi="Arial" w:cs="Arial"/>
          <w:sz w:val="22"/>
          <w:szCs w:val="22"/>
          <w:lang w:val="en-US"/>
        </w:rPr>
      </w:pPr>
    </w:p>
    <w:p w:rsidR="000E5CD3" w:rsidRDefault="00603E28" w:rsidP="000E5CD3">
      <w:pPr>
        <w:jc w:val="both"/>
        <w:rPr>
          <w:rFonts w:ascii="Arial" w:hAnsi="Arial" w:cs="Arial"/>
          <w:sz w:val="22"/>
          <w:szCs w:val="22"/>
          <w:lang w:val="en-US"/>
        </w:rPr>
      </w:pPr>
      <w:r w:rsidRPr="00603E28">
        <w:rPr>
          <w:rFonts w:ascii="Arial" w:hAnsi="Arial" w:cs="Arial"/>
          <w:sz w:val="22"/>
          <w:szCs w:val="22"/>
          <w:lang w:val="en-US"/>
        </w:rPr>
        <w:t>Turkey</w:t>
      </w:r>
      <w:r w:rsidR="00C9075F">
        <w:rPr>
          <w:rFonts w:ascii="Arial" w:hAnsi="Arial" w:cs="Arial"/>
          <w:sz w:val="22"/>
          <w:szCs w:val="22"/>
          <w:lang w:val="en-US"/>
        </w:rPr>
        <w:t>'s gros</w:t>
      </w:r>
      <w:r w:rsidR="006A1A10">
        <w:rPr>
          <w:rFonts w:ascii="Arial" w:hAnsi="Arial" w:cs="Arial"/>
          <w:sz w:val="22"/>
          <w:szCs w:val="22"/>
          <w:lang w:val="en-US"/>
        </w:rPr>
        <w:t>s domestic product (g</w:t>
      </w:r>
      <w:r w:rsidR="00C9075F">
        <w:rPr>
          <w:rFonts w:ascii="Arial" w:hAnsi="Arial" w:cs="Arial"/>
          <w:sz w:val="22"/>
          <w:szCs w:val="22"/>
          <w:lang w:val="en-US"/>
        </w:rPr>
        <w:t>dp</w:t>
      </w:r>
      <w:r w:rsidRPr="00603E28">
        <w:rPr>
          <w:rFonts w:ascii="Arial" w:hAnsi="Arial" w:cs="Arial"/>
          <w:sz w:val="22"/>
          <w:szCs w:val="22"/>
          <w:lang w:val="en-US"/>
        </w:rPr>
        <w:t>) increased by 4.3 percent in the first quarter of 2014. Also, inflation continued to remain high.</w:t>
      </w:r>
      <w:r w:rsidR="000E5CD3">
        <w:rPr>
          <w:rFonts w:ascii="Arial" w:hAnsi="Arial" w:cs="Arial"/>
          <w:sz w:val="22"/>
          <w:szCs w:val="22"/>
          <w:lang w:val="en-US"/>
        </w:rPr>
        <w:t xml:space="preserve"> </w:t>
      </w:r>
      <w:r w:rsidR="000E5CD3" w:rsidRPr="000E5CD3">
        <w:rPr>
          <w:rFonts w:ascii="Arial" w:hAnsi="Arial" w:cs="Arial"/>
          <w:sz w:val="22"/>
          <w:szCs w:val="22"/>
          <w:lang w:val="en-US"/>
        </w:rPr>
        <w:t>Although geopolitical risks had a negative impact on the exports</w:t>
      </w:r>
      <w:r w:rsidR="00C9075F">
        <w:rPr>
          <w:rFonts w:ascii="Arial" w:hAnsi="Arial" w:cs="Arial"/>
          <w:sz w:val="22"/>
          <w:szCs w:val="22"/>
          <w:lang w:val="en-US"/>
        </w:rPr>
        <w:t>,</w:t>
      </w:r>
      <w:r w:rsidR="000E5CD3" w:rsidRPr="000E5CD3">
        <w:rPr>
          <w:rFonts w:ascii="Arial" w:hAnsi="Arial" w:cs="Arial"/>
          <w:sz w:val="22"/>
          <w:szCs w:val="22"/>
          <w:lang w:val="en-US"/>
        </w:rPr>
        <w:t xml:space="preserve"> due to recent measures taken, improvement in the current account deficit continued</w:t>
      </w:r>
      <w:r w:rsidR="000E5CD3">
        <w:rPr>
          <w:rFonts w:ascii="Arial" w:hAnsi="Arial" w:cs="Arial"/>
          <w:sz w:val="22"/>
          <w:szCs w:val="22"/>
          <w:lang w:val="en-US"/>
        </w:rPr>
        <w:t>.</w:t>
      </w:r>
    </w:p>
    <w:p w:rsidR="00D61494" w:rsidRDefault="00D61494" w:rsidP="000E5CD3">
      <w:pPr>
        <w:jc w:val="both"/>
        <w:rPr>
          <w:rFonts w:ascii="Arial" w:hAnsi="Arial" w:cs="Arial"/>
          <w:sz w:val="22"/>
          <w:szCs w:val="22"/>
          <w:lang w:val="en-US"/>
        </w:rPr>
      </w:pPr>
    </w:p>
    <w:p w:rsidR="00D61494" w:rsidRDefault="00D61494" w:rsidP="000E5CD3">
      <w:pPr>
        <w:jc w:val="both"/>
        <w:rPr>
          <w:rFonts w:ascii="Arial" w:hAnsi="Arial" w:cs="Arial"/>
          <w:sz w:val="22"/>
          <w:szCs w:val="22"/>
          <w:lang w:val="en-US"/>
        </w:rPr>
      </w:pPr>
    </w:p>
    <w:p w:rsidR="00D61494" w:rsidRPr="000E5CD3" w:rsidRDefault="00D61494" w:rsidP="000E5CD3">
      <w:pPr>
        <w:jc w:val="both"/>
        <w:rPr>
          <w:rFonts w:ascii="Arial" w:hAnsi="Arial" w:cs="Arial"/>
          <w:sz w:val="22"/>
          <w:szCs w:val="22"/>
          <w:lang w:val="en-US"/>
        </w:rPr>
      </w:pPr>
    </w:p>
    <w:p w:rsidR="00603E28" w:rsidRPr="00603E28" w:rsidRDefault="00603E28" w:rsidP="00603E28">
      <w:pPr>
        <w:rPr>
          <w:rFonts w:ascii="Arial" w:hAnsi="Arial" w:cs="Arial"/>
          <w:sz w:val="22"/>
          <w:szCs w:val="22"/>
          <w:lang w:val="en-US"/>
        </w:rPr>
      </w:pPr>
    </w:p>
    <w:p w:rsidR="008E5CBD" w:rsidRPr="008E5CBD" w:rsidRDefault="008E5CBD" w:rsidP="006651CF">
      <w:pPr>
        <w:jc w:val="both"/>
        <w:rPr>
          <w:rFonts w:ascii="Arial" w:hAnsi="Arial" w:cs="Arial"/>
          <w:b/>
          <w:sz w:val="22"/>
          <w:szCs w:val="22"/>
          <w:lang w:val="en-US"/>
        </w:rPr>
      </w:pPr>
      <w:r w:rsidRPr="008E5CBD">
        <w:rPr>
          <w:rFonts w:ascii="Arial" w:hAnsi="Arial" w:cs="Arial"/>
          <w:b/>
          <w:sz w:val="22"/>
          <w:szCs w:val="22"/>
          <w:lang w:val="en-US"/>
        </w:rPr>
        <w:lastRenderedPageBreak/>
        <w:t>After stabilization in the exchange rate</w:t>
      </w:r>
      <w:r w:rsidR="00C9075F">
        <w:rPr>
          <w:rFonts w:ascii="Arial" w:hAnsi="Arial" w:cs="Arial"/>
          <w:b/>
          <w:sz w:val="22"/>
          <w:szCs w:val="22"/>
          <w:lang w:val="en-US"/>
        </w:rPr>
        <w:t>,</w:t>
      </w:r>
      <w:r w:rsidRPr="008E5CBD">
        <w:rPr>
          <w:rFonts w:ascii="Arial" w:hAnsi="Arial" w:cs="Arial"/>
          <w:b/>
          <w:sz w:val="22"/>
          <w:szCs w:val="22"/>
          <w:lang w:val="en-US"/>
        </w:rPr>
        <w:t xml:space="preserve"> Central Bank of the Republic of Turkey</w:t>
      </w:r>
      <w:r w:rsidR="00C9075F">
        <w:rPr>
          <w:rFonts w:ascii="Arial" w:hAnsi="Arial" w:cs="Arial"/>
          <w:b/>
          <w:sz w:val="22"/>
          <w:szCs w:val="22"/>
          <w:lang w:val="en-US"/>
        </w:rPr>
        <w:t xml:space="preserve"> (CBRT)</w:t>
      </w:r>
      <w:r w:rsidRPr="008E5CBD">
        <w:rPr>
          <w:rFonts w:ascii="Arial" w:hAnsi="Arial" w:cs="Arial"/>
          <w:b/>
          <w:sz w:val="22"/>
          <w:szCs w:val="22"/>
          <w:lang w:val="en-US"/>
        </w:rPr>
        <w:t xml:space="preserve"> cut interest rates.</w:t>
      </w:r>
    </w:p>
    <w:p w:rsidR="00D61494" w:rsidRPr="00E3486E" w:rsidRDefault="00D61494" w:rsidP="006651CF">
      <w:pPr>
        <w:jc w:val="both"/>
        <w:rPr>
          <w:rFonts w:ascii="Arial" w:hAnsi="Arial" w:cs="Arial"/>
          <w:b/>
          <w:color w:val="FF0000"/>
          <w:sz w:val="22"/>
          <w:szCs w:val="22"/>
          <w:lang w:val="en-US"/>
        </w:rPr>
      </w:pPr>
    </w:p>
    <w:p w:rsidR="00D61494" w:rsidRPr="00FD00CD" w:rsidRDefault="00C9075F" w:rsidP="008F1984">
      <w:pPr>
        <w:jc w:val="both"/>
        <w:rPr>
          <w:rFonts w:ascii="Arial" w:hAnsi="Arial" w:cs="Arial"/>
          <w:sz w:val="22"/>
          <w:szCs w:val="22"/>
          <w:lang w:val="en-US"/>
        </w:rPr>
      </w:pPr>
      <w:r>
        <w:rPr>
          <w:rFonts w:ascii="Arial" w:hAnsi="Arial" w:cs="Arial"/>
          <w:sz w:val="22"/>
          <w:szCs w:val="22"/>
          <w:lang w:val="en-US"/>
        </w:rPr>
        <w:t>A</w:t>
      </w:r>
      <w:r w:rsidR="00D61494" w:rsidRPr="00D61494">
        <w:rPr>
          <w:rFonts w:ascii="Arial" w:hAnsi="Arial" w:cs="Arial"/>
          <w:sz w:val="22"/>
          <w:szCs w:val="22"/>
          <w:lang w:val="en-US"/>
        </w:rPr>
        <w:t>long with the measures taken</w:t>
      </w:r>
      <w:r>
        <w:rPr>
          <w:rFonts w:ascii="Arial" w:hAnsi="Arial" w:cs="Arial"/>
          <w:sz w:val="22"/>
          <w:szCs w:val="22"/>
          <w:lang w:val="en-US"/>
        </w:rPr>
        <w:t xml:space="preserve"> by both CBRT and Banking Regulation and Supervision Agency (BRSA),</w:t>
      </w:r>
      <w:r w:rsidR="00D61494" w:rsidRPr="00D61494">
        <w:rPr>
          <w:rFonts w:ascii="Arial" w:hAnsi="Arial" w:cs="Arial"/>
          <w:sz w:val="22"/>
          <w:szCs w:val="22"/>
          <w:lang w:val="en-US"/>
        </w:rPr>
        <w:t xml:space="preserve"> credit growth fell to levels expressed as a reference.</w:t>
      </w:r>
      <w:r w:rsidR="00D61494">
        <w:rPr>
          <w:rFonts w:ascii="Arial" w:hAnsi="Arial" w:cs="Arial"/>
          <w:sz w:val="22"/>
          <w:szCs w:val="22"/>
          <w:lang w:val="en-US"/>
        </w:rPr>
        <w:t xml:space="preserve"> </w:t>
      </w:r>
      <w:r w:rsidR="00D61494" w:rsidRPr="00D61494">
        <w:rPr>
          <w:rFonts w:ascii="Arial" w:hAnsi="Arial" w:cs="Arial"/>
          <w:sz w:val="22"/>
          <w:szCs w:val="22"/>
          <w:lang w:val="en-US"/>
        </w:rPr>
        <w:t>In addition, continued</w:t>
      </w:r>
      <w:r w:rsidR="00D61494" w:rsidRPr="00FD00CD">
        <w:rPr>
          <w:rFonts w:ascii="Arial" w:hAnsi="Arial" w:cs="Arial"/>
          <w:sz w:val="22"/>
          <w:szCs w:val="22"/>
          <w:lang w:val="en-US"/>
        </w:rPr>
        <w:t xml:space="preserve"> </w:t>
      </w:r>
      <w:r w:rsidR="00D61494" w:rsidRPr="00D61494">
        <w:rPr>
          <w:rFonts w:ascii="Arial" w:hAnsi="Arial" w:cs="Arial"/>
          <w:sz w:val="22"/>
          <w:szCs w:val="22"/>
          <w:lang w:val="en-US"/>
        </w:rPr>
        <w:t>recovery in</w:t>
      </w:r>
      <w:r w:rsidR="00D61494" w:rsidRPr="00FD00CD">
        <w:rPr>
          <w:rFonts w:ascii="Arial" w:hAnsi="Arial" w:cs="Arial"/>
          <w:sz w:val="22"/>
          <w:szCs w:val="22"/>
          <w:lang w:val="en-US"/>
        </w:rPr>
        <w:t xml:space="preserve"> </w:t>
      </w:r>
      <w:r w:rsidR="00D61494" w:rsidRPr="00D61494">
        <w:rPr>
          <w:rFonts w:ascii="Arial" w:hAnsi="Arial" w:cs="Arial"/>
          <w:sz w:val="22"/>
          <w:szCs w:val="22"/>
          <w:lang w:val="en-US"/>
        </w:rPr>
        <w:t>the current account deficit</w:t>
      </w:r>
      <w:r w:rsidR="00D61494" w:rsidRPr="00FD00CD">
        <w:rPr>
          <w:rFonts w:ascii="Arial" w:hAnsi="Arial" w:cs="Arial"/>
          <w:sz w:val="22"/>
          <w:szCs w:val="22"/>
          <w:lang w:val="en-US"/>
        </w:rPr>
        <w:t xml:space="preserve"> </w:t>
      </w:r>
      <w:r w:rsidR="00D61494" w:rsidRPr="00D61494">
        <w:rPr>
          <w:rFonts w:ascii="Arial" w:hAnsi="Arial" w:cs="Arial"/>
          <w:sz w:val="22"/>
          <w:szCs w:val="22"/>
          <w:lang w:val="en-US"/>
        </w:rPr>
        <w:t xml:space="preserve">and decreasing cumulative </w:t>
      </w:r>
      <w:r>
        <w:rPr>
          <w:rFonts w:ascii="Arial" w:hAnsi="Arial" w:cs="Arial"/>
          <w:sz w:val="22"/>
          <w:szCs w:val="22"/>
          <w:lang w:val="en-US"/>
        </w:rPr>
        <w:t xml:space="preserve">effect of </w:t>
      </w:r>
      <w:r w:rsidR="00D61494" w:rsidRPr="00D61494">
        <w:rPr>
          <w:rFonts w:ascii="Arial" w:hAnsi="Arial" w:cs="Arial"/>
          <w:sz w:val="22"/>
          <w:szCs w:val="22"/>
          <w:lang w:val="en-US"/>
        </w:rPr>
        <w:t>currency depreciation on inflation enable C</w:t>
      </w:r>
      <w:r>
        <w:rPr>
          <w:rFonts w:ascii="Arial" w:hAnsi="Arial" w:cs="Arial"/>
          <w:sz w:val="22"/>
          <w:szCs w:val="22"/>
          <w:lang w:val="en-US"/>
        </w:rPr>
        <w:t>BRT</w:t>
      </w:r>
      <w:r w:rsidR="00D61494" w:rsidRPr="00D61494">
        <w:rPr>
          <w:rFonts w:ascii="Arial" w:hAnsi="Arial" w:cs="Arial"/>
          <w:sz w:val="22"/>
          <w:szCs w:val="22"/>
          <w:lang w:val="en-US"/>
        </w:rPr>
        <w:t xml:space="preserve"> to</w:t>
      </w:r>
      <w:r w:rsidR="00D61494" w:rsidRPr="00FD00CD">
        <w:rPr>
          <w:rFonts w:ascii="Arial" w:hAnsi="Arial" w:cs="Arial"/>
          <w:sz w:val="22"/>
          <w:szCs w:val="22"/>
          <w:lang w:val="en-US"/>
        </w:rPr>
        <w:t xml:space="preserve"> </w:t>
      </w:r>
      <w:r w:rsidR="00D61494" w:rsidRPr="00D61494">
        <w:rPr>
          <w:rFonts w:ascii="Arial" w:hAnsi="Arial" w:cs="Arial"/>
          <w:sz w:val="22"/>
          <w:szCs w:val="22"/>
          <w:lang w:val="en-US"/>
        </w:rPr>
        <w:t>lowered</w:t>
      </w:r>
      <w:r w:rsidR="00D61494" w:rsidRPr="00FD00CD">
        <w:rPr>
          <w:rFonts w:ascii="Arial" w:hAnsi="Arial" w:cs="Arial"/>
          <w:sz w:val="22"/>
          <w:szCs w:val="22"/>
          <w:lang w:val="en-US"/>
        </w:rPr>
        <w:t xml:space="preserve"> </w:t>
      </w:r>
      <w:r w:rsidR="00D61494" w:rsidRPr="00D61494">
        <w:rPr>
          <w:rFonts w:ascii="Arial" w:hAnsi="Arial" w:cs="Arial"/>
          <w:sz w:val="22"/>
          <w:szCs w:val="22"/>
          <w:lang w:val="en-US"/>
        </w:rPr>
        <w:t>its benchmark interest rate</w:t>
      </w:r>
      <w:r w:rsidR="00D61494" w:rsidRPr="00FD00CD">
        <w:rPr>
          <w:rFonts w:ascii="Arial" w:hAnsi="Arial" w:cs="Arial"/>
          <w:sz w:val="22"/>
          <w:szCs w:val="22"/>
          <w:lang w:val="en-US"/>
        </w:rPr>
        <w:t>.</w:t>
      </w:r>
    </w:p>
    <w:p w:rsidR="006651CF" w:rsidRPr="008F1984" w:rsidRDefault="006651CF" w:rsidP="006651CF">
      <w:pPr>
        <w:pStyle w:val="BodyText"/>
        <w:rPr>
          <w:rFonts w:ascii="Arial" w:hAnsi="Arial" w:cs="Arial"/>
          <w:sz w:val="22"/>
          <w:szCs w:val="22"/>
          <w:lang w:val="en-US"/>
        </w:rPr>
      </w:pPr>
    </w:p>
    <w:p w:rsidR="008F1984" w:rsidRPr="008F1984" w:rsidRDefault="008F1984" w:rsidP="00C9075F">
      <w:pPr>
        <w:jc w:val="both"/>
        <w:rPr>
          <w:rFonts w:ascii="Arial" w:hAnsi="Arial" w:cs="Arial"/>
          <w:sz w:val="22"/>
          <w:szCs w:val="22"/>
          <w:lang w:val="en-US"/>
        </w:rPr>
      </w:pPr>
      <w:r w:rsidRPr="008F1984">
        <w:rPr>
          <w:rFonts w:ascii="Arial" w:hAnsi="Arial" w:cs="Arial"/>
          <w:sz w:val="22"/>
          <w:szCs w:val="22"/>
          <w:lang w:val="en-US"/>
        </w:rPr>
        <w:t xml:space="preserve">Policy interest rate has been reduced.50-basis points both in May and June </w:t>
      </w:r>
      <w:r w:rsidR="00C9075F">
        <w:rPr>
          <w:rFonts w:ascii="Arial" w:hAnsi="Arial" w:cs="Arial"/>
          <w:sz w:val="22"/>
          <w:szCs w:val="22"/>
          <w:lang w:val="en-US"/>
        </w:rPr>
        <w:t xml:space="preserve">in </w:t>
      </w:r>
      <w:r w:rsidRPr="008F1984">
        <w:rPr>
          <w:rFonts w:ascii="Arial" w:hAnsi="Arial" w:cs="Arial"/>
          <w:sz w:val="22"/>
          <w:szCs w:val="22"/>
          <w:lang w:val="en-US"/>
        </w:rPr>
        <w:t xml:space="preserve">The Monetary Policy Committee meetings. </w:t>
      </w:r>
    </w:p>
    <w:p w:rsidR="006651CF" w:rsidRPr="00E3486E" w:rsidRDefault="006651CF" w:rsidP="006651CF">
      <w:pPr>
        <w:pStyle w:val="BodyText"/>
        <w:rPr>
          <w:rFonts w:ascii="Arial" w:hAnsi="Arial" w:cs="Arial"/>
          <w:color w:val="FF0000"/>
          <w:sz w:val="22"/>
          <w:szCs w:val="22"/>
          <w:lang w:val="en-US"/>
        </w:rPr>
      </w:pPr>
    </w:p>
    <w:p w:rsidR="006651CF" w:rsidRPr="00045BAA" w:rsidRDefault="00045BAA" w:rsidP="006651CF">
      <w:pPr>
        <w:jc w:val="both"/>
        <w:rPr>
          <w:rFonts w:ascii="Arial" w:hAnsi="Arial" w:cs="Arial"/>
          <w:b/>
          <w:sz w:val="22"/>
          <w:szCs w:val="22"/>
          <w:lang w:val="en-US"/>
        </w:rPr>
      </w:pPr>
      <w:r w:rsidRPr="00045BAA">
        <w:rPr>
          <w:rFonts w:ascii="Arial" w:hAnsi="Arial" w:cs="Arial"/>
          <w:b/>
          <w:sz w:val="22"/>
          <w:szCs w:val="22"/>
          <w:lang w:val="en-US"/>
        </w:rPr>
        <w:t>While consumer loans slowed down, corporate loans grew stronger</w:t>
      </w:r>
      <w:r w:rsidR="006651CF" w:rsidRPr="00045BAA">
        <w:rPr>
          <w:rFonts w:ascii="Arial" w:hAnsi="Arial" w:cs="Arial"/>
          <w:b/>
          <w:sz w:val="22"/>
          <w:szCs w:val="22"/>
          <w:lang w:val="en-US"/>
        </w:rPr>
        <w:t xml:space="preserve"> </w:t>
      </w:r>
    </w:p>
    <w:p w:rsidR="006651CF" w:rsidRDefault="006651CF" w:rsidP="006651CF">
      <w:pPr>
        <w:jc w:val="both"/>
        <w:rPr>
          <w:rFonts w:ascii="Arial" w:hAnsi="Arial" w:cs="Arial"/>
          <w:b/>
          <w:color w:val="FF0000"/>
          <w:sz w:val="22"/>
          <w:szCs w:val="22"/>
          <w:lang w:val="en-US"/>
        </w:rPr>
      </w:pPr>
    </w:p>
    <w:p w:rsidR="001E7AFB" w:rsidRPr="001E7AFB" w:rsidRDefault="001E7AFB" w:rsidP="001E7AFB">
      <w:pPr>
        <w:jc w:val="both"/>
        <w:rPr>
          <w:rFonts w:ascii="Arial" w:hAnsi="Arial" w:cs="Arial"/>
          <w:sz w:val="22"/>
          <w:szCs w:val="22"/>
          <w:lang w:val="en-US"/>
        </w:rPr>
      </w:pPr>
      <w:r w:rsidRPr="001E7AFB">
        <w:rPr>
          <w:rFonts w:ascii="Arial" w:hAnsi="Arial" w:cs="Arial"/>
          <w:sz w:val="22"/>
          <w:szCs w:val="22"/>
          <w:lang w:val="en-US"/>
        </w:rPr>
        <w:t>As a result of</w:t>
      </w:r>
      <w:r w:rsidRPr="00337B99">
        <w:rPr>
          <w:rFonts w:ascii="Arial" w:hAnsi="Arial" w:cs="Arial"/>
          <w:sz w:val="22"/>
          <w:szCs w:val="22"/>
          <w:lang w:val="en-US"/>
        </w:rPr>
        <w:t xml:space="preserve"> </w:t>
      </w:r>
      <w:r w:rsidRPr="001E7AFB">
        <w:rPr>
          <w:rFonts w:ascii="Arial" w:hAnsi="Arial" w:cs="Arial"/>
          <w:sz w:val="22"/>
          <w:szCs w:val="22"/>
          <w:lang w:val="en-US"/>
        </w:rPr>
        <w:t>high funding cost and in particularly regulations</w:t>
      </w:r>
      <w:r w:rsidRPr="00337B99">
        <w:rPr>
          <w:rFonts w:ascii="Arial" w:hAnsi="Arial" w:cs="Arial"/>
          <w:sz w:val="22"/>
          <w:szCs w:val="22"/>
          <w:lang w:val="en-US"/>
        </w:rPr>
        <w:t xml:space="preserve"> </w:t>
      </w:r>
      <w:r w:rsidRPr="001E7AFB">
        <w:rPr>
          <w:rFonts w:ascii="Arial" w:hAnsi="Arial" w:cs="Arial"/>
          <w:sz w:val="22"/>
          <w:szCs w:val="22"/>
          <w:lang w:val="en-US"/>
        </w:rPr>
        <w:t xml:space="preserve">relating to consumer loans </w:t>
      </w:r>
      <w:r w:rsidR="006A1A10">
        <w:rPr>
          <w:rFonts w:ascii="Arial" w:hAnsi="Arial" w:cs="Arial"/>
          <w:sz w:val="22"/>
          <w:szCs w:val="22"/>
          <w:lang w:val="en-US"/>
        </w:rPr>
        <w:t xml:space="preserve">reduction in </w:t>
      </w:r>
      <w:r w:rsidRPr="001E7AFB">
        <w:rPr>
          <w:rFonts w:ascii="Arial" w:hAnsi="Arial" w:cs="Arial"/>
          <w:sz w:val="22"/>
          <w:szCs w:val="22"/>
          <w:lang w:val="en-US"/>
        </w:rPr>
        <w:t>credit growth continued</w:t>
      </w:r>
      <w:r w:rsidRPr="00337B99">
        <w:rPr>
          <w:rFonts w:ascii="Arial" w:hAnsi="Arial" w:cs="Arial"/>
          <w:sz w:val="22"/>
          <w:szCs w:val="22"/>
          <w:lang w:val="en-US"/>
        </w:rPr>
        <w:t xml:space="preserve"> </w:t>
      </w:r>
      <w:r w:rsidRPr="001E7AFB">
        <w:rPr>
          <w:rFonts w:ascii="Arial" w:hAnsi="Arial" w:cs="Arial"/>
          <w:sz w:val="22"/>
          <w:szCs w:val="22"/>
          <w:lang w:val="en-US"/>
        </w:rPr>
        <w:t>in the second quarter</w:t>
      </w:r>
      <w:r w:rsidRPr="00337B99">
        <w:rPr>
          <w:rFonts w:ascii="Arial" w:hAnsi="Arial" w:cs="Arial"/>
          <w:sz w:val="22"/>
          <w:szCs w:val="22"/>
          <w:lang w:val="en-US"/>
        </w:rPr>
        <w:t xml:space="preserve"> </w:t>
      </w:r>
      <w:r w:rsidRPr="001E7AFB">
        <w:rPr>
          <w:rFonts w:ascii="Arial" w:hAnsi="Arial" w:cs="Arial"/>
          <w:sz w:val="22"/>
          <w:szCs w:val="22"/>
          <w:lang w:val="en-US"/>
        </w:rPr>
        <w:t>of the year</w:t>
      </w:r>
      <w:r>
        <w:rPr>
          <w:rFonts w:ascii="Arial" w:hAnsi="Arial" w:cs="Arial"/>
          <w:sz w:val="22"/>
          <w:szCs w:val="22"/>
          <w:lang w:val="en-US"/>
        </w:rPr>
        <w:t xml:space="preserve">. </w:t>
      </w:r>
      <w:r w:rsidRPr="001E7AFB">
        <w:rPr>
          <w:rFonts w:ascii="Arial" w:hAnsi="Arial" w:cs="Arial"/>
          <w:sz w:val="22"/>
          <w:szCs w:val="22"/>
          <w:lang w:val="en-US"/>
        </w:rPr>
        <w:t xml:space="preserve">In addition, the divergence between corporate loans and </w:t>
      </w:r>
      <w:r w:rsidR="00C9075F">
        <w:rPr>
          <w:rFonts w:ascii="Arial" w:hAnsi="Arial" w:cs="Arial"/>
          <w:sz w:val="22"/>
          <w:szCs w:val="22"/>
          <w:lang w:val="en-US"/>
        </w:rPr>
        <w:t>consumer</w:t>
      </w:r>
      <w:r w:rsidRPr="001E7AFB">
        <w:rPr>
          <w:rFonts w:ascii="Arial" w:hAnsi="Arial" w:cs="Arial"/>
          <w:sz w:val="22"/>
          <w:szCs w:val="22"/>
          <w:lang w:val="en-US"/>
        </w:rPr>
        <w:t xml:space="preserve"> loans growth rate became apparent.</w:t>
      </w:r>
    </w:p>
    <w:p w:rsidR="006651CF" w:rsidRPr="00E3486E" w:rsidRDefault="006651CF" w:rsidP="006651CF">
      <w:pPr>
        <w:pStyle w:val="BodyText"/>
        <w:rPr>
          <w:rFonts w:ascii="Arial" w:hAnsi="Arial" w:cs="Arial"/>
          <w:color w:val="FF0000"/>
          <w:sz w:val="22"/>
          <w:szCs w:val="22"/>
          <w:lang w:val="en-US"/>
        </w:rPr>
      </w:pPr>
    </w:p>
    <w:p w:rsidR="006651CF" w:rsidRPr="008C372E" w:rsidRDefault="006651CF" w:rsidP="006651CF">
      <w:pPr>
        <w:pStyle w:val="BodyText"/>
        <w:rPr>
          <w:rFonts w:ascii="Arial" w:hAnsi="Arial" w:cs="Arial"/>
          <w:sz w:val="22"/>
          <w:szCs w:val="22"/>
          <w:lang w:val="en-US"/>
        </w:rPr>
      </w:pPr>
      <w:r w:rsidRPr="008C372E">
        <w:rPr>
          <w:rFonts w:ascii="Arial" w:hAnsi="Arial" w:cs="Arial"/>
          <w:sz w:val="22"/>
          <w:szCs w:val="22"/>
          <w:lang w:val="en-US"/>
        </w:rPr>
        <w:t xml:space="preserve">Banking sector’ profit decreased by </w:t>
      </w:r>
      <w:r w:rsidR="00C9075F">
        <w:rPr>
          <w:rFonts w:ascii="Arial" w:hAnsi="Arial" w:cs="Arial"/>
          <w:sz w:val="22"/>
          <w:szCs w:val="22"/>
          <w:lang w:val="en-US"/>
        </w:rPr>
        <w:t>7</w:t>
      </w:r>
      <w:r w:rsidRPr="008C372E">
        <w:rPr>
          <w:rFonts w:ascii="Arial" w:hAnsi="Arial" w:cs="Arial"/>
          <w:sz w:val="22"/>
          <w:szCs w:val="22"/>
          <w:lang w:val="en-US"/>
        </w:rPr>
        <w:t xml:space="preserve"> percent in the </w:t>
      </w:r>
      <w:r w:rsidR="008C372E" w:rsidRPr="008C372E">
        <w:rPr>
          <w:rFonts w:ascii="Arial" w:hAnsi="Arial" w:cs="Arial"/>
          <w:sz w:val="22"/>
          <w:szCs w:val="22"/>
          <w:lang w:val="en-US"/>
        </w:rPr>
        <w:t>second</w:t>
      </w:r>
      <w:r w:rsidRPr="008C372E">
        <w:rPr>
          <w:rFonts w:ascii="Arial" w:hAnsi="Arial" w:cs="Arial"/>
          <w:sz w:val="22"/>
          <w:szCs w:val="22"/>
          <w:lang w:val="en-US"/>
        </w:rPr>
        <w:t xml:space="preserve"> quarter of the 2014, compared to the same period of the last year. In parallel with the decline in profit</w:t>
      </w:r>
      <w:r w:rsidR="00D244CA" w:rsidRPr="008C372E">
        <w:rPr>
          <w:rFonts w:ascii="Arial" w:hAnsi="Arial" w:cs="Arial"/>
          <w:sz w:val="22"/>
          <w:szCs w:val="22"/>
          <w:lang w:val="en-US"/>
        </w:rPr>
        <w:t xml:space="preserve"> volume</w:t>
      </w:r>
      <w:r w:rsidRPr="008C372E">
        <w:rPr>
          <w:rFonts w:ascii="Arial" w:hAnsi="Arial" w:cs="Arial"/>
          <w:sz w:val="22"/>
          <w:szCs w:val="22"/>
          <w:lang w:val="en-US"/>
        </w:rPr>
        <w:t xml:space="preserve">, profitability ratios were deteriorated. As of </w:t>
      </w:r>
      <w:r w:rsidR="008C372E" w:rsidRPr="008C372E">
        <w:rPr>
          <w:rFonts w:ascii="Arial" w:hAnsi="Arial" w:cs="Arial"/>
          <w:sz w:val="22"/>
          <w:szCs w:val="22"/>
          <w:lang w:val="en-US"/>
        </w:rPr>
        <w:t>June</w:t>
      </w:r>
      <w:r w:rsidRPr="008C372E">
        <w:rPr>
          <w:rFonts w:ascii="Arial" w:hAnsi="Arial" w:cs="Arial"/>
          <w:sz w:val="22"/>
          <w:szCs w:val="22"/>
          <w:lang w:val="en-US"/>
        </w:rPr>
        <w:t xml:space="preserve"> 2014, </w:t>
      </w:r>
      <w:r w:rsidR="00427195">
        <w:rPr>
          <w:rFonts w:ascii="Arial" w:hAnsi="Arial" w:cs="Arial"/>
          <w:sz w:val="22"/>
          <w:szCs w:val="22"/>
          <w:lang w:val="en-US"/>
        </w:rPr>
        <w:t xml:space="preserve">average* </w:t>
      </w:r>
      <w:r w:rsidRPr="008C372E">
        <w:rPr>
          <w:rFonts w:ascii="Arial" w:hAnsi="Arial" w:cs="Arial"/>
          <w:sz w:val="22"/>
          <w:szCs w:val="22"/>
          <w:lang w:val="en-US"/>
        </w:rPr>
        <w:t xml:space="preserve">return on equity was </w:t>
      </w:r>
      <w:r w:rsidR="00427195">
        <w:rPr>
          <w:rFonts w:ascii="Arial" w:hAnsi="Arial" w:cs="Arial"/>
          <w:sz w:val="22"/>
          <w:szCs w:val="22"/>
          <w:lang w:val="en-US"/>
        </w:rPr>
        <w:t>11.7</w:t>
      </w:r>
      <w:r w:rsidRPr="008C372E">
        <w:rPr>
          <w:rFonts w:ascii="Arial" w:hAnsi="Arial" w:cs="Arial"/>
          <w:sz w:val="22"/>
          <w:szCs w:val="22"/>
          <w:lang w:val="en-US"/>
        </w:rPr>
        <w:t xml:space="preserve"> percent and </w:t>
      </w:r>
      <w:r w:rsidR="00427195">
        <w:rPr>
          <w:rFonts w:ascii="Arial" w:hAnsi="Arial" w:cs="Arial"/>
          <w:sz w:val="22"/>
          <w:szCs w:val="22"/>
          <w:lang w:val="en-US"/>
        </w:rPr>
        <w:t xml:space="preserve">average </w:t>
      </w:r>
      <w:r w:rsidRPr="008C372E">
        <w:rPr>
          <w:rFonts w:ascii="Arial" w:hAnsi="Arial" w:cs="Arial"/>
          <w:sz w:val="22"/>
          <w:szCs w:val="22"/>
          <w:lang w:val="en-US"/>
        </w:rPr>
        <w:t>return on assets was 1.</w:t>
      </w:r>
      <w:r w:rsidR="008C372E" w:rsidRPr="008C372E">
        <w:rPr>
          <w:rFonts w:ascii="Arial" w:hAnsi="Arial" w:cs="Arial"/>
          <w:sz w:val="22"/>
          <w:szCs w:val="22"/>
          <w:lang w:val="en-US"/>
        </w:rPr>
        <w:t>3</w:t>
      </w:r>
      <w:r w:rsidRPr="008C372E">
        <w:rPr>
          <w:rFonts w:ascii="Arial" w:hAnsi="Arial" w:cs="Arial"/>
          <w:sz w:val="22"/>
          <w:szCs w:val="22"/>
          <w:lang w:val="en-US"/>
        </w:rPr>
        <w:t xml:space="preserve"> percent.  </w:t>
      </w:r>
    </w:p>
    <w:p w:rsidR="006651CF" w:rsidRPr="00E3486E" w:rsidRDefault="006651CF" w:rsidP="006651CF">
      <w:pPr>
        <w:pStyle w:val="BodyText"/>
        <w:rPr>
          <w:rFonts w:ascii="Arial" w:hAnsi="Arial" w:cs="Arial"/>
          <w:color w:val="FF0000"/>
          <w:sz w:val="22"/>
          <w:szCs w:val="22"/>
          <w:lang w:val="en-US"/>
        </w:rPr>
      </w:pPr>
    </w:p>
    <w:p w:rsidR="006651CF" w:rsidRPr="00A05D52" w:rsidRDefault="006651CF" w:rsidP="006651CF">
      <w:pPr>
        <w:pStyle w:val="BodyText"/>
        <w:rPr>
          <w:rFonts w:ascii="Arial" w:hAnsi="Arial" w:cs="Arial"/>
          <w:sz w:val="22"/>
          <w:szCs w:val="22"/>
          <w:lang w:val="en-US"/>
        </w:rPr>
      </w:pPr>
      <w:r w:rsidRPr="00A05D52">
        <w:rPr>
          <w:rFonts w:ascii="Arial" w:hAnsi="Arial" w:cs="Arial"/>
          <w:sz w:val="22"/>
          <w:szCs w:val="22"/>
          <w:lang w:val="en-US"/>
        </w:rPr>
        <w:t xml:space="preserve">Total assets grew </w:t>
      </w:r>
      <w:r w:rsidR="008C372E" w:rsidRPr="00A05D52">
        <w:rPr>
          <w:rFonts w:ascii="Arial" w:hAnsi="Arial" w:cs="Arial"/>
          <w:sz w:val="22"/>
          <w:szCs w:val="22"/>
          <w:lang w:val="en-US"/>
        </w:rPr>
        <w:t>2</w:t>
      </w:r>
      <w:r w:rsidRPr="00A05D52">
        <w:rPr>
          <w:rFonts w:ascii="Arial" w:hAnsi="Arial" w:cs="Arial"/>
          <w:sz w:val="22"/>
          <w:szCs w:val="22"/>
          <w:lang w:val="en-US"/>
        </w:rPr>
        <w:t xml:space="preserve"> percent (TL </w:t>
      </w:r>
      <w:r w:rsidR="008C372E" w:rsidRPr="00A05D52">
        <w:rPr>
          <w:rFonts w:ascii="Arial" w:hAnsi="Arial" w:cs="Arial"/>
          <w:sz w:val="22"/>
          <w:szCs w:val="22"/>
          <w:lang w:val="en-US"/>
        </w:rPr>
        <w:t>28</w:t>
      </w:r>
      <w:r w:rsidRPr="00A05D52">
        <w:rPr>
          <w:rFonts w:ascii="Arial" w:hAnsi="Arial" w:cs="Arial"/>
          <w:sz w:val="22"/>
          <w:szCs w:val="22"/>
          <w:lang w:val="en-US"/>
        </w:rPr>
        <w:t xml:space="preserve"> billion) in the first quarter of the year. </w:t>
      </w:r>
      <w:r w:rsidR="00A05D52" w:rsidRPr="00A05D52">
        <w:rPr>
          <w:rFonts w:ascii="Arial" w:hAnsi="Arial" w:cs="Arial"/>
          <w:sz w:val="22"/>
          <w:szCs w:val="22"/>
          <w:lang w:val="en-US"/>
        </w:rPr>
        <w:t xml:space="preserve">Loans decisive in </w:t>
      </w:r>
      <w:r w:rsidR="00427195">
        <w:rPr>
          <w:rFonts w:ascii="Arial" w:hAnsi="Arial" w:cs="Arial"/>
          <w:sz w:val="22"/>
          <w:szCs w:val="22"/>
          <w:lang w:val="en-US"/>
        </w:rPr>
        <w:t>total asset’s</w:t>
      </w:r>
      <w:r w:rsidR="00A05D52" w:rsidRPr="00A05D52">
        <w:rPr>
          <w:rFonts w:ascii="Arial" w:hAnsi="Arial" w:cs="Arial"/>
          <w:sz w:val="22"/>
          <w:szCs w:val="22"/>
          <w:lang w:val="en-US"/>
        </w:rPr>
        <w:t xml:space="preserve"> growth, while 2 percent of the securities portfolio decreased.</w:t>
      </w:r>
    </w:p>
    <w:p w:rsidR="006651CF" w:rsidRPr="00E3486E" w:rsidRDefault="006651CF" w:rsidP="006651CF">
      <w:pPr>
        <w:pStyle w:val="BodyText"/>
        <w:rPr>
          <w:rFonts w:ascii="Arial" w:hAnsi="Arial" w:cs="Arial"/>
          <w:color w:val="FF0000"/>
          <w:sz w:val="22"/>
          <w:szCs w:val="22"/>
          <w:lang w:val="en-US"/>
        </w:rPr>
      </w:pPr>
    </w:p>
    <w:p w:rsidR="00C94250" w:rsidRPr="00A05D52" w:rsidRDefault="00A05D52" w:rsidP="006651CF">
      <w:pPr>
        <w:pStyle w:val="BodyText"/>
        <w:rPr>
          <w:rFonts w:ascii="Arial" w:hAnsi="Arial" w:cs="Arial"/>
          <w:sz w:val="22"/>
          <w:szCs w:val="22"/>
          <w:lang w:val="en-US"/>
        </w:rPr>
      </w:pPr>
      <w:r w:rsidRPr="00A05D52">
        <w:rPr>
          <w:rFonts w:ascii="Arial" w:hAnsi="Arial" w:cs="Arial"/>
          <w:sz w:val="22"/>
          <w:szCs w:val="22"/>
          <w:lang w:val="en-US"/>
        </w:rPr>
        <w:t>The share of deposits in the banking sector funding sources, stood at 53 percent unchanged from the previous quarter. The share of non-deposit liabilities was 27 percent.</w:t>
      </w:r>
    </w:p>
    <w:p w:rsidR="00A05D52" w:rsidRPr="00E3486E" w:rsidRDefault="00A05D52" w:rsidP="006651CF">
      <w:pPr>
        <w:pStyle w:val="BodyText"/>
        <w:rPr>
          <w:rFonts w:ascii="Arial" w:hAnsi="Arial" w:cs="Arial"/>
          <w:color w:val="FF0000"/>
          <w:sz w:val="22"/>
          <w:szCs w:val="22"/>
          <w:lang w:val="en-US"/>
        </w:rPr>
      </w:pPr>
    </w:p>
    <w:p w:rsidR="006651CF" w:rsidRPr="00E94AB4" w:rsidRDefault="00F62656" w:rsidP="006651CF">
      <w:pPr>
        <w:pStyle w:val="BodyText"/>
        <w:rPr>
          <w:rFonts w:ascii="Arial" w:hAnsi="Arial" w:cs="Arial"/>
          <w:sz w:val="22"/>
          <w:szCs w:val="22"/>
          <w:lang w:val="en-US"/>
        </w:rPr>
      </w:pPr>
      <w:r>
        <w:rPr>
          <w:rFonts w:ascii="Arial" w:hAnsi="Arial" w:cs="Arial"/>
          <w:sz w:val="22"/>
          <w:szCs w:val="22"/>
          <w:lang w:val="en-US"/>
        </w:rPr>
        <w:t>C</w:t>
      </w:r>
      <w:r w:rsidR="006651CF" w:rsidRPr="00E94AB4">
        <w:rPr>
          <w:rFonts w:ascii="Arial" w:hAnsi="Arial" w:cs="Arial"/>
          <w:sz w:val="22"/>
          <w:szCs w:val="22"/>
          <w:lang w:val="en-US"/>
        </w:rPr>
        <w:t xml:space="preserve">apital adequacy ratio </w:t>
      </w:r>
      <w:r>
        <w:rPr>
          <w:rFonts w:ascii="Arial" w:hAnsi="Arial" w:cs="Arial"/>
          <w:sz w:val="22"/>
          <w:szCs w:val="22"/>
          <w:lang w:val="en-US"/>
        </w:rPr>
        <w:t>was</w:t>
      </w:r>
      <w:r w:rsidR="00E94AB4" w:rsidRPr="00E94AB4">
        <w:rPr>
          <w:rFonts w:ascii="Arial" w:hAnsi="Arial" w:cs="Arial"/>
          <w:sz w:val="22"/>
          <w:szCs w:val="22"/>
          <w:lang w:val="en-US"/>
        </w:rPr>
        <w:t xml:space="preserve"> 16.3</w:t>
      </w:r>
      <w:r w:rsidR="006651CF" w:rsidRPr="00E94AB4">
        <w:rPr>
          <w:rFonts w:ascii="Arial" w:hAnsi="Arial" w:cs="Arial"/>
          <w:sz w:val="22"/>
          <w:szCs w:val="22"/>
          <w:lang w:val="en-US"/>
        </w:rPr>
        <w:t xml:space="preserve"> percent in the </w:t>
      </w:r>
      <w:r w:rsidR="00A05D52" w:rsidRPr="00E94AB4">
        <w:rPr>
          <w:rFonts w:ascii="Arial" w:hAnsi="Arial" w:cs="Arial"/>
          <w:sz w:val="22"/>
          <w:szCs w:val="22"/>
          <w:lang w:val="en-US"/>
        </w:rPr>
        <w:t>second</w:t>
      </w:r>
      <w:r w:rsidR="006651CF" w:rsidRPr="00E94AB4">
        <w:rPr>
          <w:rFonts w:ascii="Arial" w:hAnsi="Arial" w:cs="Arial"/>
          <w:sz w:val="22"/>
          <w:szCs w:val="22"/>
          <w:lang w:val="en-US"/>
        </w:rPr>
        <w:t xml:space="preserve"> quarter of the year.</w:t>
      </w:r>
    </w:p>
    <w:p w:rsidR="003B4BA9" w:rsidRPr="00E3486E" w:rsidRDefault="003B4BA9" w:rsidP="007551FF">
      <w:pPr>
        <w:jc w:val="both"/>
        <w:rPr>
          <w:rFonts w:ascii="Arial" w:hAnsi="Arial" w:cs="Arial"/>
          <w:color w:val="FF0000"/>
          <w:sz w:val="22"/>
          <w:szCs w:val="22"/>
          <w:lang w:val="en-US"/>
        </w:rPr>
      </w:pPr>
      <w:bookmarkStart w:id="1" w:name="OLE_LINK17"/>
      <w:bookmarkStart w:id="2" w:name="OLE_LINK18"/>
    </w:p>
    <w:p w:rsidR="009B1730" w:rsidRPr="008C372E" w:rsidRDefault="009B1730" w:rsidP="007551FF">
      <w:pPr>
        <w:jc w:val="both"/>
        <w:rPr>
          <w:rFonts w:ascii="Arial" w:hAnsi="Arial" w:cs="Arial"/>
          <w:b/>
          <w:sz w:val="22"/>
          <w:szCs w:val="22"/>
          <w:lang w:val="en-US"/>
        </w:rPr>
      </w:pPr>
      <w:r w:rsidRPr="008C372E">
        <w:rPr>
          <w:rFonts w:ascii="Arial" w:hAnsi="Arial" w:cs="Arial"/>
          <w:b/>
          <w:sz w:val="22"/>
          <w:szCs w:val="22"/>
          <w:lang w:val="en-US"/>
        </w:rPr>
        <w:t>2. Developments in Balance Sheet Items</w:t>
      </w:r>
    </w:p>
    <w:p w:rsidR="00E63080" w:rsidRPr="008C372E" w:rsidRDefault="00E63080" w:rsidP="007551FF">
      <w:pPr>
        <w:jc w:val="both"/>
        <w:rPr>
          <w:rFonts w:ascii="Arial" w:hAnsi="Arial" w:cs="Arial"/>
          <w:sz w:val="22"/>
          <w:szCs w:val="22"/>
          <w:lang w:val="en-US"/>
        </w:rPr>
      </w:pPr>
    </w:p>
    <w:p w:rsidR="009B1730" w:rsidRPr="008C372E" w:rsidRDefault="009B1730" w:rsidP="007551FF">
      <w:pPr>
        <w:jc w:val="both"/>
        <w:rPr>
          <w:rFonts w:ascii="Arial" w:hAnsi="Arial" w:cs="Arial"/>
          <w:sz w:val="22"/>
          <w:szCs w:val="22"/>
          <w:lang w:val="en-US"/>
        </w:rPr>
      </w:pPr>
      <w:r w:rsidRPr="008C372E">
        <w:rPr>
          <w:rFonts w:ascii="Arial" w:hAnsi="Arial" w:cs="Arial"/>
          <w:sz w:val="22"/>
          <w:szCs w:val="22"/>
          <w:lang w:val="en-US"/>
        </w:rPr>
        <w:t xml:space="preserve">Total assets increased by </w:t>
      </w:r>
      <w:r w:rsidR="008C372E" w:rsidRPr="008C372E">
        <w:rPr>
          <w:rFonts w:ascii="Arial" w:hAnsi="Arial" w:cs="Arial"/>
          <w:sz w:val="22"/>
          <w:szCs w:val="22"/>
          <w:lang w:val="en-US"/>
        </w:rPr>
        <w:t>20</w:t>
      </w:r>
      <w:r w:rsidRPr="008C372E">
        <w:rPr>
          <w:rFonts w:ascii="Arial" w:hAnsi="Arial" w:cs="Arial"/>
          <w:sz w:val="22"/>
          <w:szCs w:val="22"/>
          <w:lang w:val="en-US"/>
        </w:rPr>
        <w:t xml:space="preserve"> percent </w:t>
      </w:r>
      <w:r w:rsidR="00B25032" w:rsidRPr="008C372E">
        <w:rPr>
          <w:rFonts w:ascii="Arial" w:hAnsi="Arial" w:cs="Arial"/>
          <w:sz w:val="22"/>
          <w:szCs w:val="22"/>
          <w:lang w:val="en-US"/>
        </w:rPr>
        <w:t xml:space="preserve">by </w:t>
      </w:r>
      <w:r w:rsidR="008C372E" w:rsidRPr="008C372E">
        <w:rPr>
          <w:rFonts w:ascii="Arial" w:hAnsi="Arial" w:cs="Arial"/>
          <w:sz w:val="22"/>
          <w:szCs w:val="22"/>
          <w:lang w:val="en-US"/>
        </w:rPr>
        <w:t>June</w:t>
      </w:r>
      <w:r w:rsidR="00B25032" w:rsidRPr="008C372E">
        <w:rPr>
          <w:rFonts w:ascii="Arial" w:hAnsi="Arial" w:cs="Arial"/>
          <w:sz w:val="22"/>
          <w:szCs w:val="22"/>
          <w:lang w:val="en-US"/>
        </w:rPr>
        <w:t xml:space="preserve"> 201</w:t>
      </w:r>
      <w:r w:rsidR="0052092E" w:rsidRPr="008C372E">
        <w:rPr>
          <w:rFonts w:ascii="Arial" w:hAnsi="Arial" w:cs="Arial"/>
          <w:sz w:val="22"/>
          <w:szCs w:val="22"/>
          <w:lang w:val="en-US"/>
        </w:rPr>
        <w:t>4</w:t>
      </w:r>
      <w:r w:rsidRPr="008C372E">
        <w:rPr>
          <w:rFonts w:ascii="Arial" w:hAnsi="Arial" w:cs="Arial"/>
          <w:sz w:val="22"/>
          <w:szCs w:val="22"/>
          <w:lang w:val="en-US"/>
        </w:rPr>
        <w:t xml:space="preserve"> compared to the same period of 201</w:t>
      </w:r>
      <w:r w:rsidR="0052092E" w:rsidRPr="008C372E">
        <w:rPr>
          <w:rFonts w:ascii="Arial" w:hAnsi="Arial" w:cs="Arial"/>
          <w:sz w:val="22"/>
          <w:szCs w:val="22"/>
          <w:lang w:val="en-US"/>
        </w:rPr>
        <w:t>3</w:t>
      </w:r>
      <w:r w:rsidRPr="008C372E">
        <w:rPr>
          <w:rFonts w:ascii="Arial" w:hAnsi="Arial" w:cs="Arial"/>
          <w:sz w:val="22"/>
          <w:szCs w:val="22"/>
          <w:lang w:val="en-US"/>
        </w:rPr>
        <w:t xml:space="preserve">. As of </w:t>
      </w:r>
      <w:r w:rsidR="008C372E" w:rsidRPr="008C372E">
        <w:rPr>
          <w:rFonts w:ascii="Arial" w:hAnsi="Arial" w:cs="Arial"/>
          <w:sz w:val="22"/>
          <w:szCs w:val="22"/>
          <w:lang w:val="en-US"/>
        </w:rPr>
        <w:t>June</w:t>
      </w:r>
      <w:r w:rsidRPr="008C372E">
        <w:rPr>
          <w:rFonts w:ascii="Arial" w:hAnsi="Arial" w:cs="Arial"/>
          <w:sz w:val="22"/>
          <w:szCs w:val="22"/>
          <w:lang w:val="en-US"/>
        </w:rPr>
        <w:t xml:space="preserve"> 201</w:t>
      </w:r>
      <w:r w:rsidR="0052092E" w:rsidRPr="008C372E">
        <w:rPr>
          <w:rFonts w:ascii="Arial" w:hAnsi="Arial" w:cs="Arial"/>
          <w:sz w:val="22"/>
          <w:szCs w:val="22"/>
          <w:lang w:val="en-US"/>
        </w:rPr>
        <w:t>4</w:t>
      </w:r>
      <w:r w:rsidR="00543AF9" w:rsidRPr="008C372E">
        <w:rPr>
          <w:rFonts w:ascii="Arial" w:hAnsi="Arial" w:cs="Arial"/>
          <w:sz w:val="22"/>
          <w:szCs w:val="22"/>
          <w:lang w:val="en-US"/>
        </w:rPr>
        <w:t>, total assets were TL 1,</w:t>
      </w:r>
      <w:r w:rsidR="0052092E" w:rsidRPr="008C372E">
        <w:rPr>
          <w:rFonts w:ascii="Arial" w:hAnsi="Arial" w:cs="Arial"/>
          <w:sz w:val="22"/>
          <w:szCs w:val="22"/>
          <w:lang w:val="en-US"/>
        </w:rPr>
        <w:t>7</w:t>
      </w:r>
      <w:r w:rsidR="008C372E" w:rsidRPr="008C372E">
        <w:rPr>
          <w:rFonts w:ascii="Arial" w:hAnsi="Arial" w:cs="Arial"/>
          <w:sz w:val="22"/>
          <w:szCs w:val="22"/>
          <w:lang w:val="en-US"/>
        </w:rPr>
        <w:t>30</w:t>
      </w:r>
      <w:r w:rsidRPr="008C372E">
        <w:rPr>
          <w:rFonts w:ascii="Arial" w:hAnsi="Arial" w:cs="Arial"/>
          <w:sz w:val="22"/>
          <w:szCs w:val="22"/>
          <w:lang w:val="en-US"/>
        </w:rPr>
        <w:t xml:space="preserve"> billion (USD </w:t>
      </w:r>
      <w:r w:rsidR="008C372E" w:rsidRPr="008C372E">
        <w:rPr>
          <w:rFonts w:ascii="Arial" w:hAnsi="Arial" w:cs="Arial"/>
          <w:sz w:val="22"/>
          <w:szCs w:val="22"/>
          <w:lang w:val="en-US"/>
        </w:rPr>
        <w:t xml:space="preserve">815 </w:t>
      </w:r>
      <w:r w:rsidRPr="008C372E">
        <w:rPr>
          <w:rFonts w:ascii="Arial" w:hAnsi="Arial" w:cs="Arial"/>
          <w:sz w:val="22"/>
          <w:szCs w:val="22"/>
          <w:lang w:val="en-US"/>
        </w:rPr>
        <w:t xml:space="preserve">billion). </w:t>
      </w:r>
    </w:p>
    <w:p w:rsidR="00B25032" w:rsidRPr="00E3486E" w:rsidRDefault="00B25032" w:rsidP="007551FF">
      <w:pPr>
        <w:jc w:val="both"/>
        <w:rPr>
          <w:rFonts w:ascii="Arial" w:hAnsi="Arial" w:cs="Arial"/>
          <w:color w:val="FF0000"/>
          <w:sz w:val="22"/>
          <w:szCs w:val="22"/>
          <w:lang w:val="en-US"/>
        </w:rPr>
      </w:pPr>
    </w:p>
    <w:p w:rsidR="00B9537E" w:rsidRDefault="009B1730" w:rsidP="00F95457">
      <w:pPr>
        <w:jc w:val="both"/>
        <w:rPr>
          <w:rFonts w:ascii="Arial" w:hAnsi="Arial" w:cs="Arial"/>
          <w:sz w:val="22"/>
          <w:szCs w:val="22"/>
          <w:lang w:val="en-US"/>
        </w:rPr>
      </w:pPr>
      <w:r w:rsidRPr="008C372E">
        <w:rPr>
          <w:rFonts w:ascii="Arial" w:hAnsi="Arial" w:cs="Arial"/>
          <w:sz w:val="22"/>
          <w:szCs w:val="22"/>
          <w:lang w:val="en-US"/>
        </w:rPr>
        <w:t xml:space="preserve">Total assets increased by </w:t>
      </w:r>
      <w:r w:rsidR="00F62656">
        <w:rPr>
          <w:rFonts w:ascii="Arial" w:hAnsi="Arial" w:cs="Arial"/>
          <w:sz w:val="22"/>
          <w:szCs w:val="22"/>
          <w:lang w:val="en-US"/>
        </w:rPr>
        <w:t>20</w:t>
      </w:r>
      <w:r w:rsidR="00E63080" w:rsidRPr="008C372E">
        <w:rPr>
          <w:rFonts w:ascii="Arial" w:hAnsi="Arial" w:cs="Arial"/>
          <w:sz w:val="22"/>
          <w:szCs w:val="22"/>
          <w:lang w:val="en-US"/>
        </w:rPr>
        <w:t xml:space="preserve"> </w:t>
      </w:r>
      <w:r w:rsidRPr="008C372E">
        <w:rPr>
          <w:rFonts w:ascii="Arial" w:hAnsi="Arial" w:cs="Arial"/>
          <w:sz w:val="22"/>
          <w:szCs w:val="22"/>
          <w:lang w:val="en-US"/>
        </w:rPr>
        <w:t xml:space="preserve">percent in deposit banks and </w:t>
      </w:r>
      <w:r w:rsidR="008C372E" w:rsidRPr="008C372E">
        <w:rPr>
          <w:rFonts w:ascii="Arial" w:hAnsi="Arial" w:cs="Arial"/>
          <w:sz w:val="22"/>
          <w:szCs w:val="22"/>
          <w:lang w:val="en-US"/>
        </w:rPr>
        <w:t>33</w:t>
      </w:r>
      <w:r w:rsidRPr="008C372E">
        <w:rPr>
          <w:rFonts w:ascii="Arial" w:hAnsi="Arial" w:cs="Arial"/>
          <w:sz w:val="22"/>
          <w:szCs w:val="22"/>
          <w:lang w:val="en-US"/>
        </w:rPr>
        <w:t xml:space="preserve"> percent in development and investment banks, as compared to the </w:t>
      </w:r>
      <w:r w:rsidR="008C372E" w:rsidRPr="008C372E">
        <w:rPr>
          <w:rFonts w:ascii="Arial" w:hAnsi="Arial" w:cs="Arial"/>
          <w:sz w:val="22"/>
          <w:szCs w:val="22"/>
          <w:lang w:val="en-US"/>
        </w:rPr>
        <w:t>June</w:t>
      </w:r>
      <w:r w:rsidR="00E63080" w:rsidRPr="008C372E">
        <w:rPr>
          <w:rFonts w:ascii="Arial" w:hAnsi="Arial" w:cs="Arial"/>
          <w:sz w:val="22"/>
          <w:szCs w:val="22"/>
          <w:lang w:val="en-US"/>
        </w:rPr>
        <w:t xml:space="preserve"> </w:t>
      </w:r>
      <w:r w:rsidRPr="008C372E">
        <w:rPr>
          <w:rFonts w:ascii="Arial" w:hAnsi="Arial" w:cs="Arial"/>
          <w:sz w:val="22"/>
          <w:szCs w:val="22"/>
          <w:lang w:val="en-US"/>
        </w:rPr>
        <w:t>201</w:t>
      </w:r>
      <w:r w:rsidR="00FA7EE1" w:rsidRPr="008C372E">
        <w:rPr>
          <w:rFonts w:ascii="Arial" w:hAnsi="Arial" w:cs="Arial"/>
          <w:sz w:val="22"/>
          <w:szCs w:val="22"/>
          <w:lang w:val="en-US"/>
        </w:rPr>
        <w:t>3</w:t>
      </w:r>
      <w:r w:rsidRPr="008C372E">
        <w:rPr>
          <w:rFonts w:ascii="Arial" w:hAnsi="Arial" w:cs="Arial"/>
          <w:sz w:val="22"/>
          <w:szCs w:val="22"/>
          <w:lang w:val="en-US"/>
        </w:rPr>
        <w:t xml:space="preserve">. </w:t>
      </w:r>
      <w:bookmarkEnd w:id="1"/>
      <w:bookmarkEnd w:id="2"/>
    </w:p>
    <w:p w:rsidR="00F62656" w:rsidRDefault="00F62656" w:rsidP="00F95457">
      <w:pPr>
        <w:jc w:val="both"/>
        <w:rPr>
          <w:rFonts w:ascii="Arial" w:hAnsi="Arial" w:cs="Arial"/>
          <w:sz w:val="22"/>
          <w:szCs w:val="22"/>
          <w:lang w:val="en-US"/>
        </w:rPr>
      </w:pPr>
    </w:p>
    <w:p w:rsidR="00F62656" w:rsidRPr="00650511" w:rsidRDefault="00F62656" w:rsidP="00F62656">
      <w:pPr>
        <w:jc w:val="both"/>
        <w:rPr>
          <w:rFonts w:ascii="Arial" w:hAnsi="Arial" w:cs="Arial"/>
          <w:sz w:val="22"/>
          <w:szCs w:val="22"/>
          <w:lang w:val="en-US"/>
        </w:rPr>
      </w:pPr>
      <w:r w:rsidRPr="005B6318">
        <w:rPr>
          <w:rFonts w:ascii="Arial" w:hAnsi="Arial" w:cs="Arial"/>
          <w:sz w:val="22"/>
          <w:szCs w:val="22"/>
          <w:lang w:val="en-US"/>
        </w:rPr>
        <w:t>By June 2014, compared to the same period of last year, while the share of state owned banks in total assets increased by 1 point, the share of the foreign banks decreased by 2 point.</w:t>
      </w:r>
      <w:r w:rsidRPr="00650511">
        <w:rPr>
          <w:rFonts w:ascii="Arial" w:hAnsi="Arial" w:cs="Arial"/>
          <w:sz w:val="22"/>
          <w:szCs w:val="22"/>
          <w:lang w:val="en-US"/>
        </w:rPr>
        <w:t xml:space="preserve"> </w:t>
      </w:r>
      <w:r w:rsidR="00650511" w:rsidRPr="00650511">
        <w:rPr>
          <w:rFonts w:ascii="Arial" w:hAnsi="Arial" w:cs="Arial"/>
          <w:sz w:val="22"/>
          <w:szCs w:val="22"/>
          <w:lang w:val="en-US"/>
        </w:rPr>
        <w:t>The share of foreign banks has increased by 1 point</w:t>
      </w:r>
      <w:r w:rsidR="00650511">
        <w:rPr>
          <w:rFonts w:ascii="Arial" w:hAnsi="Arial" w:cs="Arial"/>
          <w:sz w:val="22"/>
          <w:szCs w:val="22"/>
          <w:lang w:val="en-US"/>
        </w:rPr>
        <w:t xml:space="preserve"> </w:t>
      </w:r>
      <w:r w:rsidRPr="00650511">
        <w:rPr>
          <w:rFonts w:ascii="Arial" w:hAnsi="Arial" w:cs="Arial"/>
          <w:sz w:val="22"/>
          <w:szCs w:val="22"/>
          <w:lang w:val="en-US"/>
        </w:rPr>
        <w:t xml:space="preserve">in the second quarter of 2014. </w:t>
      </w:r>
      <w:r w:rsidRPr="003E42B5">
        <w:rPr>
          <w:rFonts w:ascii="Arial" w:hAnsi="Arial" w:cs="Arial"/>
          <w:sz w:val="22"/>
          <w:szCs w:val="22"/>
          <w:lang w:val="en-US"/>
        </w:rPr>
        <w:t>In parallel with total assets of foreign banks share in deposits and loans increased by 1 percentage point.</w:t>
      </w:r>
    </w:p>
    <w:p w:rsidR="00F62656" w:rsidRPr="008C372E" w:rsidRDefault="00F62656" w:rsidP="00F95457">
      <w:pPr>
        <w:jc w:val="both"/>
        <w:rPr>
          <w:rFonts w:ascii="Arial" w:hAnsi="Arial" w:cs="Arial"/>
          <w:sz w:val="22"/>
          <w:szCs w:val="22"/>
          <w:lang w:val="en-US"/>
        </w:rPr>
      </w:pPr>
    </w:p>
    <w:p w:rsidR="00C9075F" w:rsidRDefault="00C9075F" w:rsidP="00C9075F">
      <w:pPr>
        <w:jc w:val="both"/>
        <w:rPr>
          <w:rFonts w:ascii="Arial" w:hAnsi="Arial" w:cs="Arial"/>
          <w:sz w:val="18"/>
          <w:szCs w:val="22"/>
          <w:lang w:val="en-US"/>
        </w:rPr>
      </w:pPr>
      <w:r w:rsidRPr="00427195">
        <w:rPr>
          <w:rFonts w:ascii="Arial" w:hAnsi="Arial" w:cs="Arial"/>
          <w:sz w:val="18"/>
          <w:szCs w:val="22"/>
          <w:lang w:val="en-US"/>
        </w:rPr>
        <w:t>*: Average of the beginning and end of the period</w:t>
      </w:r>
    </w:p>
    <w:p w:rsidR="00694927" w:rsidRPr="00E3486E" w:rsidRDefault="00694927" w:rsidP="00F95457">
      <w:pPr>
        <w:jc w:val="both"/>
        <w:rPr>
          <w:rFonts w:ascii="Arial" w:hAnsi="Arial" w:cs="Arial"/>
          <w:color w:val="FF0000"/>
          <w:sz w:val="22"/>
          <w:szCs w:val="22"/>
          <w:lang w:val="en-US"/>
        </w:rPr>
      </w:pPr>
    </w:p>
    <w:p w:rsidR="004F1241" w:rsidRPr="008C372E" w:rsidRDefault="004F1241" w:rsidP="00F95457">
      <w:pPr>
        <w:jc w:val="both"/>
        <w:rPr>
          <w:rFonts w:ascii="Arial" w:hAnsi="Arial" w:cs="Arial"/>
          <w:sz w:val="22"/>
          <w:szCs w:val="22"/>
          <w:lang w:val="en-US"/>
        </w:rPr>
      </w:pPr>
      <w:r w:rsidRPr="008C372E">
        <w:rPr>
          <w:rFonts w:ascii="Arial" w:hAnsi="Arial" w:cs="Arial"/>
          <w:sz w:val="22"/>
          <w:szCs w:val="22"/>
          <w:lang w:val="en-US"/>
        </w:rPr>
        <w:lastRenderedPageBreak/>
        <w:t xml:space="preserve">Due to measures taken </w:t>
      </w:r>
      <w:r w:rsidR="00F62656">
        <w:rPr>
          <w:rFonts w:ascii="Arial" w:hAnsi="Arial" w:cs="Arial"/>
          <w:sz w:val="22"/>
          <w:szCs w:val="22"/>
          <w:lang w:val="en-US"/>
        </w:rPr>
        <w:t xml:space="preserve">by </w:t>
      </w:r>
      <w:r w:rsidRPr="008C372E">
        <w:rPr>
          <w:rFonts w:ascii="Arial" w:hAnsi="Arial" w:cs="Arial"/>
          <w:sz w:val="22"/>
          <w:szCs w:val="22"/>
          <w:lang w:val="en-US"/>
        </w:rPr>
        <w:t>policymaker, primarily including consumer loans, total loan growth rate continued to slow</w:t>
      </w:r>
      <w:r w:rsidR="00C94250" w:rsidRPr="008C372E">
        <w:rPr>
          <w:rFonts w:ascii="Arial" w:hAnsi="Arial" w:cs="Arial"/>
          <w:sz w:val="22"/>
          <w:szCs w:val="22"/>
          <w:lang w:val="en-US"/>
        </w:rPr>
        <w:t>down</w:t>
      </w:r>
      <w:r w:rsidRPr="008C372E">
        <w:rPr>
          <w:rFonts w:ascii="Arial" w:hAnsi="Arial" w:cs="Arial"/>
          <w:sz w:val="22"/>
          <w:szCs w:val="22"/>
          <w:lang w:val="en-US"/>
        </w:rPr>
        <w:t xml:space="preserve">. As of </w:t>
      </w:r>
      <w:r w:rsidR="008C372E" w:rsidRPr="008C372E">
        <w:rPr>
          <w:rFonts w:ascii="Arial" w:hAnsi="Arial" w:cs="Arial"/>
          <w:sz w:val="22"/>
          <w:szCs w:val="22"/>
          <w:lang w:val="en-US"/>
        </w:rPr>
        <w:t>June</w:t>
      </w:r>
      <w:r w:rsidRPr="008C372E">
        <w:rPr>
          <w:rFonts w:ascii="Arial" w:hAnsi="Arial" w:cs="Arial"/>
          <w:sz w:val="22"/>
          <w:szCs w:val="22"/>
          <w:lang w:val="en-US"/>
        </w:rPr>
        <w:t xml:space="preserve"> 2014 the growth rate </w:t>
      </w:r>
      <w:r w:rsidRPr="000C1432">
        <w:rPr>
          <w:rFonts w:ascii="Arial" w:hAnsi="Arial" w:cs="Arial"/>
          <w:sz w:val="22"/>
          <w:szCs w:val="22"/>
          <w:lang w:val="en-US"/>
        </w:rPr>
        <w:t>stood</w:t>
      </w:r>
      <w:r w:rsidRPr="008C372E">
        <w:rPr>
          <w:rFonts w:ascii="Arial" w:hAnsi="Arial" w:cs="Arial"/>
          <w:sz w:val="22"/>
          <w:szCs w:val="22"/>
          <w:lang w:val="en-US"/>
        </w:rPr>
        <w:t xml:space="preserve"> at </w:t>
      </w:r>
      <w:r w:rsidR="008C372E" w:rsidRPr="008C372E">
        <w:rPr>
          <w:rFonts w:ascii="Arial" w:hAnsi="Arial" w:cs="Arial"/>
          <w:sz w:val="22"/>
          <w:szCs w:val="22"/>
          <w:lang w:val="en-US"/>
        </w:rPr>
        <w:t>2</w:t>
      </w:r>
      <w:r w:rsidR="000C1432">
        <w:rPr>
          <w:rFonts w:ascii="Arial" w:hAnsi="Arial" w:cs="Arial"/>
          <w:sz w:val="22"/>
          <w:szCs w:val="22"/>
          <w:lang w:val="en-US"/>
        </w:rPr>
        <w:t>3</w:t>
      </w:r>
      <w:r w:rsidR="008C372E" w:rsidRPr="008C372E">
        <w:rPr>
          <w:rFonts w:ascii="Arial" w:hAnsi="Arial" w:cs="Arial"/>
          <w:sz w:val="22"/>
          <w:szCs w:val="22"/>
          <w:lang w:val="en-US"/>
        </w:rPr>
        <w:t xml:space="preserve"> </w:t>
      </w:r>
      <w:r w:rsidRPr="008C372E">
        <w:rPr>
          <w:rFonts w:ascii="Arial" w:hAnsi="Arial" w:cs="Arial"/>
          <w:sz w:val="22"/>
          <w:szCs w:val="22"/>
          <w:lang w:val="en-US"/>
        </w:rPr>
        <w:t>percent.</w:t>
      </w:r>
    </w:p>
    <w:p w:rsidR="00E63080" w:rsidRPr="00E3486E" w:rsidRDefault="00E63080" w:rsidP="00F95457">
      <w:pPr>
        <w:jc w:val="both"/>
        <w:rPr>
          <w:rFonts w:ascii="Arial" w:hAnsi="Arial" w:cs="Arial"/>
          <w:color w:val="FF0000"/>
          <w:sz w:val="22"/>
          <w:szCs w:val="22"/>
          <w:lang w:val="en-US"/>
        </w:rPr>
      </w:pPr>
    </w:p>
    <w:p w:rsidR="009B1730" w:rsidRPr="004201E6" w:rsidRDefault="009B1730" w:rsidP="00606BE3">
      <w:pPr>
        <w:jc w:val="center"/>
        <w:rPr>
          <w:rFonts w:ascii="Arial" w:hAnsi="Arial" w:cs="Arial"/>
          <w:b/>
          <w:sz w:val="22"/>
          <w:szCs w:val="22"/>
          <w:lang w:val="en-US"/>
        </w:rPr>
      </w:pPr>
      <w:r w:rsidRPr="004201E6">
        <w:rPr>
          <w:rFonts w:ascii="Arial" w:hAnsi="Arial" w:cs="Arial"/>
          <w:b/>
          <w:sz w:val="22"/>
          <w:szCs w:val="22"/>
          <w:lang w:val="en-US"/>
        </w:rPr>
        <w:t>Total Assets (USD billion) and Total Assets/Gdp (percent)</w:t>
      </w:r>
    </w:p>
    <w:p w:rsidR="00163F64" w:rsidRPr="00E3486E" w:rsidRDefault="00163F64" w:rsidP="00606BE3">
      <w:pPr>
        <w:jc w:val="center"/>
        <w:rPr>
          <w:rFonts w:ascii="Arial" w:hAnsi="Arial" w:cs="Arial"/>
          <w:b/>
          <w:color w:val="FF0000"/>
          <w:sz w:val="22"/>
          <w:szCs w:val="22"/>
          <w:lang w:val="en-US"/>
        </w:rPr>
      </w:pPr>
    </w:p>
    <w:p w:rsidR="0069541B" w:rsidRPr="00E3486E" w:rsidRDefault="00E8545A" w:rsidP="00606BE3">
      <w:pPr>
        <w:jc w:val="center"/>
        <w:rPr>
          <w:rFonts w:ascii="Arial" w:hAnsi="Arial" w:cs="Arial"/>
          <w:b/>
          <w:color w:val="FF0000"/>
          <w:sz w:val="22"/>
          <w:szCs w:val="22"/>
          <w:lang w:val="en-US"/>
        </w:rPr>
      </w:pPr>
      <w:r>
        <w:rPr>
          <w:noProof/>
          <w:lang w:eastAsia="tr-TR"/>
        </w:rPr>
        <w:drawing>
          <wp:inline distT="0" distB="0" distL="0" distR="0">
            <wp:extent cx="4843780" cy="2746375"/>
            <wp:effectExtent l="0" t="0" r="13970" b="15875"/>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1047A" w:rsidRPr="00E3486E" w:rsidRDefault="0011047A" w:rsidP="007551FF">
      <w:pPr>
        <w:jc w:val="both"/>
        <w:rPr>
          <w:rFonts w:ascii="Arial" w:hAnsi="Arial" w:cs="Arial"/>
          <w:b/>
          <w:color w:val="FF0000"/>
          <w:sz w:val="22"/>
          <w:szCs w:val="22"/>
          <w:lang w:val="en-US"/>
        </w:rPr>
      </w:pPr>
    </w:p>
    <w:p w:rsidR="009B1730" w:rsidRDefault="009B1730" w:rsidP="007551FF">
      <w:pPr>
        <w:jc w:val="both"/>
        <w:rPr>
          <w:rFonts w:ascii="Arial" w:hAnsi="Arial" w:cs="Arial"/>
          <w:sz w:val="22"/>
          <w:szCs w:val="22"/>
          <w:lang w:val="en-US"/>
        </w:rPr>
      </w:pPr>
      <w:r w:rsidRPr="008C372E">
        <w:rPr>
          <w:rFonts w:ascii="Arial" w:hAnsi="Arial" w:cs="Arial"/>
          <w:sz w:val="22"/>
          <w:szCs w:val="22"/>
          <w:lang w:val="en-US"/>
        </w:rPr>
        <w:t xml:space="preserve">The ratio of loans to total assets realized at </w:t>
      </w:r>
      <w:r w:rsidR="00AA3D67" w:rsidRPr="008C372E">
        <w:rPr>
          <w:rFonts w:ascii="Arial" w:hAnsi="Arial" w:cs="Arial"/>
          <w:sz w:val="22"/>
          <w:szCs w:val="22"/>
          <w:lang w:val="en-US"/>
        </w:rPr>
        <w:t>6</w:t>
      </w:r>
      <w:r w:rsidR="00F62656">
        <w:rPr>
          <w:rFonts w:ascii="Arial" w:hAnsi="Arial" w:cs="Arial"/>
          <w:sz w:val="22"/>
          <w:szCs w:val="22"/>
          <w:lang w:val="en-US"/>
        </w:rPr>
        <w:t>3</w:t>
      </w:r>
      <w:r w:rsidRPr="008C372E">
        <w:rPr>
          <w:rFonts w:ascii="Arial" w:hAnsi="Arial" w:cs="Arial"/>
          <w:sz w:val="22"/>
          <w:szCs w:val="22"/>
          <w:lang w:val="en-US"/>
        </w:rPr>
        <w:t xml:space="preserve"> percent by increasing </w:t>
      </w:r>
      <w:r w:rsidR="008C372E" w:rsidRPr="008C372E">
        <w:rPr>
          <w:rFonts w:ascii="Arial" w:hAnsi="Arial" w:cs="Arial"/>
          <w:sz w:val="22"/>
          <w:szCs w:val="22"/>
          <w:lang w:val="en-US"/>
        </w:rPr>
        <w:t>1</w:t>
      </w:r>
      <w:r w:rsidRPr="008C372E">
        <w:rPr>
          <w:rFonts w:ascii="Arial" w:hAnsi="Arial" w:cs="Arial"/>
          <w:sz w:val="22"/>
          <w:szCs w:val="22"/>
          <w:lang w:val="en-US"/>
        </w:rPr>
        <w:t xml:space="preserve"> percentage points as compared to </w:t>
      </w:r>
      <w:r w:rsidR="00694927" w:rsidRPr="008C372E">
        <w:rPr>
          <w:rFonts w:ascii="Arial" w:hAnsi="Arial" w:cs="Arial"/>
          <w:sz w:val="22"/>
          <w:szCs w:val="22"/>
          <w:lang w:val="en-US"/>
        </w:rPr>
        <w:t>March 2014</w:t>
      </w:r>
      <w:r w:rsidRPr="008C372E">
        <w:rPr>
          <w:rFonts w:ascii="Arial" w:hAnsi="Arial" w:cs="Arial"/>
          <w:sz w:val="22"/>
          <w:szCs w:val="22"/>
          <w:lang w:val="en-US"/>
        </w:rPr>
        <w:t xml:space="preserve">. Loans to deposits ratio was </w:t>
      </w:r>
      <w:r w:rsidR="00AA3D67" w:rsidRPr="008C372E">
        <w:rPr>
          <w:rFonts w:ascii="Arial" w:hAnsi="Arial" w:cs="Arial"/>
          <w:sz w:val="22"/>
          <w:szCs w:val="22"/>
          <w:lang w:val="en-US"/>
        </w:rPr>
        <w:t>1</w:t>
      </w:r>
      <w:r w:rsidR="00694927" w:rsidRPr="008C372E">
        <w:rPr>
          <w:rFonts w:ascii="Arial" w:hAnsi="Arial" w:cs="Arial"/>
          <w:sz w:val="22"/>
          <w:szCs w:val="22"/>
          <w:lang w:val="en-US"/>
        </w:rPr>
        <w:t>1</w:t>
      </w:r>
      <w:r w:rsidR="008C372E" w:rsidRPr="008C372E">
        <w:rPr>
          <w:rFonts w:ascii="Arial" w:hAnsi="Arial" w:cs="Arial"/>
          <w:sz w:val="22"/>
          <w:szCs w:val="22"/>
          <w:lang w:val="en-US"/>
        </w:rPr>
        <w:t>7</w:t>
      </w:r>
      <w:r w:rsidR="00851E4A" w:rsidRPr="008C372E">
        <w:rPr>
          <w:rFonts w:ascii="Arial" w:hAnsi="Arial" w:cs="Arial"/>
          <w:sz w:val="22"/>
          <w:szCs w:val="22"/>
          <w:lang w:val="en-US"/>
        </w:rPr>
        <w:t xml:space="preserve"> </w:t>
      </w:r>
      <w:r w:rsidRPr="008C372E">
        <w:rPr>
          <w:rFonts w:ascii="Arial" w:hAnsi="Arial" w:cs="Arial"/>
          <w:sz w:val="22"/>
          <w:szCs w:val="22"/>
          <w:lang w:val="en-US"/>
        </w:rPr>
        <w:t xml:space="preserve">percent by increasing </w:t>
      </w:r>
      <w:r w:rsidR="00F62656">
        <w:rPr>
          <w:rFonts w:ascii="Arial" w:hAnsi="Arial" w:cs="Arial"/>
          <w:sz w:val="22"/>
          <w:szCs w:val="22"/>
          <w:lang w:val="en-US"/>
        </w:rPr>
        <w:t>6</w:t>
      </w:r>
      <w:r w:rsidRPr="008C372E">
        <w:rPr>
          <w:rFonts w:ascii="Arial" w:hAnsi="Arial" w:cs="Arial"/>
          <w:sz w:val="22"/>
          <w:szCs w:val="22"/>
          <w:lang w:val="en-US"/>
        </w:rPr>
        <w:t xml:space="preserve"> percentage points </w:t>
      </w:r>
      <w:r w:rsidR="00AA3D67" w:rsidRPr="008C372E">
        <w:rPr>
          <w:rFonts w:ascii="Arial" w:hAnsi="Arial" w:cs="Arial"/>
          <w:sz w:val="22"/>
          <w:szCs w:val="22"/>
          <w:lang w:val="en-US"/>
        </w:rPr>
        <w:t xml:space="preserve">compared to the </w:t>
      </w:r>
      <w:r w:rsidR="008C372E" w:rsidRPr="008C372E">
        <w:rPr>
          <w:rFonts w:ascii="Arial" w:hAnsi="Arial" w:cs="Arial"/>
          <w:sz w:val="22"/>
          <w:szCs w:val="22"/>
          <w:lang w:val="en-US"/>
        </w:rPr>
        <w:t>previous quarter</w:t>
      </w:r>
      <w:r w:rsidR="00AA3D67" w:rsidRPr="008C372E">
        <w:rPr>
          <w:rFonts w:ascii="Arial" w:hAnsi="Arial" w:cs="Arial"/>
          <w:sz w:val="22"/>
          <w:szCs w:val="22"/>
          <w:lang w:val="en-US"/>
        </w:rPr>
        <w:t>.</w:t>
      </w:r>
      <w:r w:rsidRPr="008C372E">
        <w:rPr>
          <w:rFonts w:ascii="Arial" w:hAnsi="Arial" w:cs="Arial"/>
          <w:sz w:val="22"/>
          <w:szCs w:val="22"/>
          <w:lang w:val="en-US"/>
        </w:rPr>
        <w:t xml:space="preserve"> The same ratio was </w:t>
      </w:r>
      <w:r w:rsidR="008C372E" w:rsidRPr="008C372E">
        <w:rPr>
          <w:rFonts w:ascii="Arial" w:hAnsi="Arial" w:cs="Arial"/>
          <w:sz w:val="22"/>
          <w:szCs w:val="22"/>
          <w:lang w:val="en-US"/>
        </w:rPr>
        <w:t>10</w:t>
      </w:r>
      <w:r w:rsidR="00F62656">
        <w:rPr>
          <w:rFonts w:ascii="Arial" w:hAnsi="Arial" w:cs="Arial"/>
          <w:sz w:val="22"/>
          <w:szCs w:val="22"/>
          <w:lang w:val="en-US"/>
        </w:rPr>
        <w:t>2</w:t>
      </w:r>
      <w:r w:rsidRPr="008C372E">
        <w:rPr>
          <w:rFonts w:ascii="Arial" w:hAnsi="Arial" w:cs="Arial"/>
          <w:sz w:val="22"/>
          <w:szCs w:val="22"/>
          <w:lang w:val="en-US"/>
        </w:rPr>
        <w:t xml:space="preserve"> percent in state-owned banks, </w:t>
      </w:r>
      <w:r w:rsidR="00015B52" w:rsidRPr="008C372E">
        <w:rPr>
          <w:rFonts w:ascii="Arial" w:hAnsi="Arial" w:cs="Arial"/>
          <w:sz w:val="22"/>
          <w:szCs w:val="22"/>
          <w:lang w:val="en-US"/>
        </w:rPr>
        <w:t>1</w:t>
      </w:r>
      <w:r w:rsidR="008C372E" w:rsidRPr="008C372E">
        <w:rPr>
          <w:rFonts w:ascii="Arial" w:hAnsi="Arial" w:cs="Arial"/>
          <w:sz w:val="22"/>
          <w:szCs w:val="22"/>
          <w:lang w:val="en-US"/>
        </w:rPr>
        <w:t>1</w:t>
      </w:r>
      <w:r w:rsidR="00F62656">
        <w:rPr>
          <w:rFonts w:ascii="Arial" w:hAnsi="Arial" w:cs="Arial"/>
          <w:sz w:val="22"/>
          <w:szCs w:val="22"/>
          <w:lang w:val="en-US"/>
        </w:rPr>
        <w:t>5</w:t>
      </w:r>
      <w:r w:rsidRPr="008C372E">
        <w:rPr>
          <w:rFonts w:ascii="Arial" w:hAnsi="Arial" w:cs="Arial"/>
          <w:sz w:val="22"/>
          <w:szCs w:val="22"/>
          <w:lang w:val="en-US"/>
        </w:rPr>
        <w:t xml:space="preserve"> percent in private banks and 1</w:t>
      </w:r>
      <w:r w:rsidR="008C372E" w:rsidRPr="008C372E">
        <w:rPr>
          <w:rFonts w:ascii="Arial" w:hAnsi="Arial" w:cs="Arial"/>
          <w:sz w:val="22"/>
          <w:szCs w:val="22"/>
          <w:lang w:val="en-US"/>
        </w:rPr>
        <w:t>1</w:t>
      </w:r>
      <w:r w:rsidR="00F62656">
        <w:rPr>
          <w:rFonts w:ascii="Arial" w:hAnsi="Arial" w:cs="Arial"/>
          <w:sz w:val="22"/>
          <w:szCs w:val="22"/>
          <w:lang w:val="en-US"/>
        </w:rPr>
        <w:t>7</w:t>
      </w:r>
      <w:r w:rsidRPr="008C372E">
        <w:rPr>
          <w:rFonts w:ascii="Arial" w:hAnsi="Arial" w:cs="Arial"/>
          <w:sz w:val="22"/>
          <w:szCs w:val="22"/>
          <w:lang w:val="en-US"/>
        </w:rPr>
        <w:t xml:space="preserve"> perc</w:t>
      </w:r>
      <w:r w:rsidR="000821A5" w:rsidRPr="008C372E">
        <w:rPr>
          <w:rFonts w:ascii="Arial" w:hAnsi="Arial" w:cs="Arial"/>
          <w:sz w:val="22"/>
          <w:szCs w:val="22"/>
          <w:lang w:val="en-US"/>
        </w:rPr>
        <w:t xml:space="preserve">ent in foreign banks as of </w:t>
      </w:r>
      <w:r w:rsidR="008C372E" w:rsidRPr="008C372E">
        <w:rPr>
          <w:rFonts w:ascii="Arial" w:hAnsi="Arial" w:cs="Arial"/>
          <w:sz w:val="22"/>
          <w:szCs w:val="22"/>
          <w:lang w:val="en-US"/>
        </w:rPr>
        <w:t>June</w:t>
      </w:r>
      <w:r w:rsidR="000821A5" w:rsidRPr="008C372E">
        <w:rPr>
          <w:rFonts w:ascii="Arial" w:hAnsi="Arial" w:cs="Arial"/>
          <w:sz w:val="22"/>
          <w:szCs w:val="22"/>
          <w:lang w:val="en-US"/>
        </w:rPr>
        <w:t xml:space="preserve"> </w:t>
      </w:r>
      <w:r w:rsidRPr="008C372E">
        <w:rPr>
          <w:rFonts w:ascii="Arial" w:hAnsi="Arial" w:cs="Arial"/>
          <w:sz w:val="22"/>
          <w:szCs w:val="22"/>
          <w:lang w:val="en-US"/>
        </w:rPr>
        <w:t>201</w:t>
      </w:r>
      <w:r w:rsidR="00694927" w:rsidRPr="008C372E">
        <w:rPr>
          <w:rFonts w:ascii="Arial" w:hAnsi="Arial" w:cs="Arial"/>
          <w:sz w:val="22"/>
          <w:szCs w:val="22"/>
          <w:lang w:val="en-US"/>
        </w:rPr>
        <w:t>4</w:t>
      </w:r>
      <w:r w:rsidR="00AF74BF" w:rsidRPr="008C372E">
        <w:rPr>
          <w:rFonts w:ascii="Arial" w:hAnsi="Arial" w:cs="Arial"/>
          <w:sz w:val="22"/>
          <w:szCs w:val="22"/>
          <w:lang w:val="en-US"/>
        </w:rPr>
        <w:t>.</w:t>
      </w:r>
      <w:r w:rsidR="006A1A10">
        <w:rPr>
          <w:rFonts w:ascii="Arial" w:hAnsi="Arial" w:cs="Arial"/>
          <w:sz w:val="22"/>
          <w:szCs w:val="22"/>
          <w:lang w:val="en-US"/>
        </w:rPr>
        <w:t>**</w:t>
      </w:r>
    </w:p>
    <w:p w:rsidR="00652980" w:rsidRPr="008C372E" w:rsidRDefault="00652980" w:rsidP="00652980">
      <w:pPr>
        <w:jc w:val="both"/>
        <w:rPr>
          <w:rFonts w:ascii="Arial" w:hAnsi="Arial" w:cs="Arial"/>
          <w:sz w:val="22"/>
          <w:szCs w:val="22"/>
          <w:lang w:val="en-US"/>
        </w:rPr>
      </w:pPr>
    </w:p>
    <w:p w:rsidR="004566AF" w:rsidRPr="008C372E" w:rsidRDefault="008F460E" w:rsidP="007551FF">
      <w:pPr>
        <w:jc w:val="both"/>
        <w:rPr>
          <w:rFonts w:ascii="Arial" w:hAnsi="Arial" w:cs="Arial"/>
          <w:sz w:val="22"/>
          <w:szCs w:val="22"/>
          <w:lang w:val="en-US"/>
        </w:rPr>
      </w:pPr>
      <w:r w:rsidRPr="008C372E">
        <w:rPr>
          <w:rFonts w:ascii="Arial" w:hAnsi="Arial" w:cs="Arial"/>
          <w:sz w:val="22"/>
          <w:szCs w:val="22"/>
          <w:lang w:val="en-US"/>
        </w:rPr>
        <w:t>The ratio of non-</w:t>
      </w:r>
      <w:r w:rsidR="004566AF" w:rsidRPr="008C372E">
        <w:rPr>
          <w:rFonts w:ascii="Arial" w:hAnsi="Arial" w:cs="Arial"/>
          <w:sz w:val="22"/>
          <w:szCs w:val="22"/>
          <w:lang w:val="en-US"/>
        </w:rPr>
        <w:t xml:space="preserve">performing loans (NPLs, gross) to loan stock </w:t>
      </w:r>
      <w:r w:rsidR="008C372E" w:rsidRPr="008C372E">
        <w:rPr>
          <w:rFonts w:ascii="Arial" w:hAnsi="Arial" w:cs="Arial"/>
          <w:sz w:val="22"/>
          <w:szCs w:val="22"/>
          <w:lang w:val="en-US"/>
        </w:rPr>
        <w:t>stood at</w:t>
      </w:r>
      <w:r w:rsidR="00AA3D67" w:rsidRPr="008C372E">
        <w:rPr>
          <w:rFonts w:ascii="Arial" w:hAnsi="Arial" w:cs="Arial"/>
          <w:sz w:val="22"/>
          <w:szCs w:val="22"/>
          <w:lang w:val="en-US"/>
        </w:rPr>
        <w:t xml:space="preserve"> 2.</w:t>
      </w:r>
      <w:r w:rsidR="008C372E" w:rsidRPr="008C372E">
        <w:rPr>
          <w:rFonts w:ascii="Arial" w:hAnsi="Arial" w:cs="Arial"/>
          <w:sz w:val="22"/>
          <w:szCs w:val="22"/>
          <w:lang w:val="en-US"/>
        </w:rPr>
        <w:t>8</w:t>
      </w:r>
      <w:r w:rsidR="00AA3D67" w:rsidRPr="008C372E">
        <w:rPr>
          <w:rFonts w:ascii="Arial" w:hAnsi="Arial" w:cs="Arial"/>
          <w:sz w:val="22"/>
          <w:szCs w:val="22"/>
          <w:lang w:val="en-US"/>
        </w:rPr>
        <w:t xml:space="preserve"> percent</w:t>
      </w:r>
      <w:r w:rsidR="004566AF" w:rsidRPr="008C372E">
        <w:rPr>
          <w:rFonts w:ascii="Arial" w:hAnsi="Arial" w:cs="Arial"/>
          <w:sz w:val="22"/>
          <w:szCs w:val="22"/>
          <w:lang w:val="en-US"/>
        </w:rPr>
        <w:t>. Notably, provisions set aside for the non-performing loans</w:t>
      </w:r>
      <w:r w:rsidR="00824093" w:rsidRPr="008C372E">
        <w:rPr>
          <w:rFonts w:ascii="Arial" w:hAnsi="Arial" w:cs="Arial"/>
          <w:sz w:val="22"/>
          <w:szCs w:val="22"/>
          <w:lang w:val="en-US"/>
        </w:rPr>
        <w:t xml:space="preserve"> </w:t>
      </w:r>
      <w:r w:rsidR="00415614" w:rsidRPr="008C372E">
        <w:rPr>
          <w:rFonts w:ascii="Arial" w:hAnsi="Arial" w:cs="Arial"/>
          <w:sz w:val="22"/>
          <w:szCs w:val="22"/>
          <w:lang w:val="en-US"/>
        </w:rPr>
        <w:t xml:space="preserve">were </w:t>
      </w:r>
      <w:r w:rsidR="00AA3D67" w:rsidRPr="008C372E">
        <w:rPr>
          <w:rFonts w:ascii="Arial" w:hAnsi="Arial" w:cs="Arial"/>
          <w:sz w:val="22"/>
          <w:szCs w:val="22"/>
          <w:lang w:val="en-US"/>
        </w:rPr>
        <w:t>at the level of 7</w:t>
      </w:r>
      <w:r w:rsidR="008C372E" w:rsidRPr="008C372E">
        <w:rPr>
          <w:rFonts w:ascii="Arial" w:hAnsi="Arial" w:cs="Arial"/>
          <w:sz w:val="22"/>
          <w:szCs w:val="22"/>
          <w:lang w:val="en-US"/>
        </w:rPr>
        <w:t>7</w:t>
      </w:r>
      <w:r w:rsidR="00AA3D67" w:rsidRPr="008C372E">
        <w:rPr>
          <w:rFonts w:ascii="Arial" w:hAnsi="Arial" w:cs="Arial"/>
          <w:sz w:val="22"/>
          <w:szCs w:val="22"/>
          <w:lang w:val="en-US"/>
        </w:rPr>
        <w:t xml:space="preserve"> percent.</w:t>
      </w:r>
    </w:p>
    <w:p w:rsidR="00FF7D85" w:rsidRPr="006A1A10" w:rsidRDefault="00FF7D85" w:rsidP="007551FF">
      <w:pPr>
        <w:jc w:val="both"/>
        <w:rPr>
          <w:rFonts w:ascii="Arial" w:hAnsi="Arial" w:cs="Arial"/>
          <w:sz w:val="10"/>
          <w:szCs w:val="10"/>
          <w:lang w:val="en-US"/>
        </w:rPr>
      </w:pPr>
    </w:p>
    <w:p w:rsidR="002D7807" w:rsidRDefault="009B1730" w:rsidP="002D7807">
      <w:pPr>
        <w:jc w:val="both"/>
        <w:rPr>
          <w:rFonts w:ascii="Arial" w:hAnsi="Arial" w:cs="Arial"/>
          <w:sz w:val="22"/>
          <w:szCs w:val="22"/>
          <w:lang w:val="en-US"/>
        </w:rPr>
      </w:pPr>
      <w:r w:rsidRPr="00652980">
        <w:rPr>
          <w:rFonts w:ascii="Arial" w:hAnsi="Arial" w:cs="Arial"/>
          <w:sz w:val="22"/>
          <w:szCs w:val="22"/>
          <w:lang w:val="en-US"/>
        </w:rPr>
        <w:t xml:space="preserve">Total deposits financed </w:t>
      </w:r>
      <w:r w:rsidR="00415614" w:rsidRPr="00652980">
        <w:rPr>
          <w:rFonts w:ascii="Arial" w:hAnsi="Arial" w:cs="Arial"/>
          <w:sz w:val="22"/>
          <w:szCs w:val="22"/>
          <w:lang w:val="en-US"/>
        </w:rPr>
        <w:t>5</w:t>
      </w:r>
      <w:r w:rsidR="008C372E" w:rsidRPr="00652980">
        <w:rPr>
          <w:rFonts w:ascii="Arial" w:hAnsi="Arial" w:cs="Arial"/>
          <w:sz w:val="22"/>
          <w:szCs w:val="22"/>
          <w:lang w:val="en-US"/>
        </w:rPr>
        <w:t>3</w:t>
      </w:r>
      <w:r w:rsidRPr="00652980">
        <w:rPr>
          <w:rFonts w:ascii="Arial" w:hAnsi="Arial" w:cs="Arial"/>
          <w:sz w:val="22"/>
          <w:szCs w:val="22"/>
          <w:lang w:val="en-US"/>
        </w:rPr>
        <w:t xml:space="preserve"> percent</w:t>
      </w:r>
      <w:r w:rsidR="00415614" w:rsidRPr="00652980">
        <w:rPr>
          <w:rFonts w:ascii="Arial" w:hAnsi="Arial" w:cs="Arial"/>
          <w:sz w:val="22"/>
          <w:szCs w:val="22"/>
          <w:lang w:val="en-US"/>
        </w:rPr>
        <w:t xml:space="preserve"> of total assets</w:t>
      </w:r>
      <w:r w:rsidR="00415614" w:rsidRPr="00604B30">
        <w:rPr>
          <w:rFonts w:ascii="Arial" w:hAnsi="Arial" w:cs="Arial"/>
          <w:sz w:val="22"/>
          <w:szCs w:val="22"/>
          <w:lang w:val="en-US"/>
        </w:rPr>
        <w:t xml:space="preserve"> </w:t>
      </w:r>
      <w:r w:rsidR="00604B30" w:rsidRPr="00604B30">
        <w:rPr>
          <w:rFonts w:ascii="Arial" w:hAnsi="Arial" w:cs="Arial"/>
          <w:sz w:val="22"/>
          <w:szCs w:val="22"/>
          <w:lang w:val="en-US"/>
        </w:rPr>
        <w:t xml:space="preserve">and </w:t>
      </w:r>
      <w:r w:rsidR="00604B30">
        <w:rPr>
          <w:rFonts w:ascii="Arial" w:hAnsi="Arial" w:cs="Arial"/>
          <w:sz w:val="22"/>
          <w:szCs w:val="22"/>
          <w:lang w:val="en-US"/>
        </w:rPr>
        <w:t>r</w:t>
      </w:r>
      <w:r w:rsidR="00604B30" w:rsidRPr="00604B30">
        <w:rPr>
          <w:rFonts w:ascii="Arial" w:hAnsi="Arial" w:cs="Arial"/>
          <w:sz w:val="22"/>
          <w:szCs w:val="22"/>
          <w:lang w:val="en-US"/>
        </w:rPr>
        <w:t xml:space="preserve">emained unchanged compared </w:t>
      </w:r>
      <w:r w:rsidR="00415614" w:rsidRPr="00604B30">
        <w:rPr>
          <w:rFonts w:ascii="Arial" w:hAnsi="Arial" w:cs="Arial"/>
          <w:sz w:val="22"/>
          <w:szCs w:val="22"/>
          <w:lang w:val="en-US"/>
        </w:rPr>
        <w:t>to the same period of last year</w:t>
      </w:r>
      <w:r w:rsidR="006D4DED" w:rsidRPr="00604B30">
        <w:rPr>
          <w:rFonts w:ascii="Arial" w:hAnsi="Arial" w:cs="Arial"/>
          <w:sz w:val="22"/>
          <w:szCs w:val="22"/>
          <w:lang w:val="en-US"/>
        </w:rPr>
        <w:t xml:space="preserve">. </w:t>
      </w:r>
      <w:r w:rsidR="006D4DED" w:rsidRPr="00652980">
        <w:rPr>
          <w:rFonts w:ascii="Arial" w:hAnsi="Arial" w:cs="Arial"/>
          <w:sz w:val="22"/>
          <w:szCs w:val="22"/>
          <w:lang w:val="en-US"/>
        </w:rPr>
        <w:t>The non-deposit</w:t>
      </w:r>
      <w:r w:rsidRPr="00652980">
        <w:rPr>
          <w:rFonts w:ascii="Arial" w:hAnsi="Arial" w:cs="Arial"/>
          <w:sz w:val="22"/>
          <w:szCs w:val="22"/>
          <w:lang w:val="en-US"/>
        </w:rPr>
        <w:t xml:space="preserve"> </w:t>
      </w:r>
      <w:r w:rsidR="00824093" w:rsidRPr="00652980">
        <w:rPr>
          <w:rFonts w:ascii="Arial" w:hAnsi="Arial" w:cs="Arial"/>
          <w:sz w:val="22"/>
          <w:szCs w:val="22"/>
          <w:lang w:val="en-US"/>
        </w:rPr>
        <w:t>funds to total assets were</w:t>
      </w:r>
      <w:r w:rsidRPr="00652980">
        <w:rPr>
          <w:rFonts w:ascii="Arial" w:hAnsi="Arial" w:cs="Arial"/>
          <w:sz w:val="22"/>
          <w:szCs w:val="22"/>
          <w:lang w:val="en-US"/>
        </w:rPr>
        <w:t xml:space="preserve"> </w:t>
      </w:r>
      <w:r w:rsidR="00783775" w:rsidRPr="00652980">
        <w:rPr>
          <w:rFonts w:ascii="Arial" w:hAnsi="Arial" w:cs="Arial"/>
          <w:sz w:val="22"/>
          <w:szCs w:val="22"/>
          <w:lang w:val="en-US"/>
        </w:rPr>
        <w:t>2</w:t>
      </w:r>
      <w:r w:rsidR="00652980" w:rsidRPr="00652980">
        <w:rPr>
          <w:rFonts w:ascii="Arial" w:hAnsi="Arial" w:cs="Arial"/>
          <w:sz w:val="22"/>
          <w:szCs w:val="22"/>
          <w:lang w:val="en-US"/>
        </w:rPr>
        <w:t>7</w:t>
      </w:r>
      <w:r w:rsidR="00415614" w:rsidRPr="00652980">
        <w:rPr>
          <w:rFonts w:ascii="Arial" w:hAnsi="Arial" w:cs="Arial"/>
          <w:sz w:val="22"/>
          <w:szCs w:val="22"/>
          <w:lang w:val="en-US"/>
        </w:rPr>
        <w:t xml:space="preserve"> </w:t>
      </w:r>
      <w:r w:rsidRPr="00652980">
        <w:rPr>
          <w:rFonts w:ascii="Arial" w:hAnsi="Arial" w:cs="Arial"/>
          <w:sz w:val="22"/>
          <w:szCs w:val="22"/>
          <w:lang w:val="en-US"/>
        </w:rPr>
        <w:t xml:space="preserve">percent by </w:t>
      </w:r>
      <w:r w:rsidR="00652980" w:rsidRPr="00652980">
        <w:rPr>
          <w:rFonts w:ascii="Arial" w:hAnsi="Arial" w:cs="Arial"/>
          <w:sz w:val="22"/>
          <w:szCs w:val="22"/>
          <w:lang w:val="en-US"/>
        </w:rPr>
        <w:t>June</w:t>
      </w:r>
      <w:r w:rsidRPr="00652980">
        <w:rPr>
          <w:rFonts w:ascii="Arial" w:hAnsi="Arial" w:cs="Arial"/>
          <w:sz w:val="22"/>
          <w:szCs w:val="22"/>
          <w:lang w:val="en-US"/>
        </w:rPr>
        <w:t xml:space="preserve"> 201</w:t>
      </w:r>
      <w:r w:rsidR="00694927" w:rsidRPr="00652980">
        <w:rPr>
          <w:rFonts w:ascii="Arial" w:hAnsi="Arial" w:cs="Arial"/>
          <w:sz w:val="22"/>
          <w:szCs w:val="22"/>
          <w:lang w:val="en-US"/>
        </w:rPr>
        <w:t>4</w:t>
      </w:r>
      <w:r w:rsidRPr="00652980">
        <w:rPr>
          <w:rFonts w:ascii="Arial" w:hAnsi="Arial" w:cs="Arial"/>
          <w:sz w:val="22"/>
          <w:szCs w:val="22"/>
          <w:lang w:val="en-US"/>
        </w:rPr>
        <w:t xml:space="preserve">. </w:t>
      </w:r>
      <w:r w:rsidR="00415614" w:rsidRPr="00652980">
        <w:rPr>
          <w:rFonts w:ascii="Arial" w:hAnsi="Arial" w:cs="Arial"/>
          <w:sz w:val="22"/>
          <w:szCs w:val="22"/>
          <w:lang w:val="en-US"/>
        </w:rPr>
        <w:t xml:space="preserve">Securities issued by banks continued to increase and financed </w:t>
      </w:r>
      <w:r w:rsidR="00694927" w:rsidRPr="00652980">
        <w:rPr>
          <w:rFonts w:ascii="Arial" w:hAnsi="Arial" w:cs="Arial"/>
          <w:sz w:val="22"/>
          <w:szCs w:val="22"/>
          <w:lang w:val="en-US"/>
        </w:rPr>
        <w:t>4</w:t>
      </w:r>
      <w:r w:rsidR="00415614" w:rsidRPr="00652980">
        <w:rPr>
          <w:rFonts w:ascii="Arial" w:hAnsi="Arial" w:cs="Arial"/>
          <w:sz w:val="22"/>
          <w:szCs w:val="22"/>
          <w:lang w:val="en-US"/>
        </w:rPr>
        <w:t xml:space="preserve"> percent of total assets by </w:t>
      </w:r>
      <w:r w:rsidR="00652980" w:rsidRPr="00652980">
        <w:rPr>
          <w:rFonts w:ascii="Arial" w:hAnsi="Arial" w:cs="Arial"/>
          <w:sz w:val="22"/>
          <w:szCs w:val="22"/>
          <w:lang w:val="en-US"/>
        </w:rPr>
        <w:t>June</w:t>
      </w:r>
      <w:r w:rsidR="00415614" w:rsidRPr="00652980">
        <w:rPr>
          <w:rFonts w:ascii="Arial" w:hAnsi="Arial" w:cs="Arial"/>
          <w:sz w:val="22"/>
          <w:szCs w:val="22"/>
          <w:lang w:val="en-US"/>
        </w:rPr>
        <w:t xml:space="preserve"> 201</w:t>
      </w:r>
      <w:r w:rsidR="00694927" w:rsidRPr="00652980">
        <w:rPr>
          <w:rFonts w:ascii="Arial" w:hAnsi="Arial" w:cs="Arial"/>
          <w:sz w:val="22"/>
          <w:szCs w:val="22"/>
          <w:lang w:val="en-US"/>
        </w:rPr>
        <w:t>4</w:t>
      </w:r>
      <w:r w:rsidR="00415614" w:rsidRPr="00652980">
        <w:rPr>
          <w:rFonts w:ascii="Arial" w:hAnsi="Arial" w:cs="Arial"/>
          <w:sz w:val="22"/>
          <w:szCs w:val="22"/>
          <w:lang w:val="en-US"/>
        </w:rPr>
        <w:t>.</w:t>
      </w:r>
      <w:r w:rsidR="002D7807" w:rsidRPr="002D7807">
        <w:rPr>
          <w:rFonts w:ascii="Arial" w:hAnsi="Arial" w:cs="Arial"/>
          <w:sz w:val="22"/>
          <w:szCs w:val="22"/>
          <w:lang w:val="en-US"/>
        </w:rPr>
        <w:t xml:space="preserve"> </w:t>
      </w:r>
    </w:p>
    <w:p w:rsidR="002D7807" w:rsidRPr="006A1A10" w:rsidRDefault="002D7807" w:rsidP="002D7807">
      <w:pPr>
        <w:jc w:val="both"/>
        <w:rPr>
          <w:rFonts w:ascii="Arial" w:hAnsi="Arial" w:cs="Arial"/>
          <w:sz w:val="10"/>
          <w:szCs w:val="10"/>
          <w:lang w:val="en-US"/>
        </w:rPr>
      </w:pPr>
    </w:p>
    <w:p w:rsidR="009B1730" w:rsidRPr="00F32B63" w:rsidRDefault="002D7807" w:rsidP="007551FF">
      <w:pPr>
        <w:jc w:val="both"/>
        <w:rPr>
          <w:rFonts w:ascii="Arial" w:hAnsi="Arial" w:cs="Arial"/>
          <w:sz w:val="22"/>
          <w:szCs w:val="22"/>
          <w:lang w:val="en-US"/>
        </w:rPr>
      </w:pPr>
      <w:r w:rsidRPr="005A6C7C">
        <w:rPr>
          <w:rFonts w:ascii="Arial" w:hAnsi="Arial" w:cs="Arial"/>
          <w:sz w:val="22"/>
          <w:szCs w:val="22"/>
          <w:lang w:val="en-US"/>
        </w:rPr>
        <w:t>Shareholders’ equity was TL 205 billion as of June 2014 with an increase of 6 percent compared to June 2013</w:t>
      </w:r>
      <w:r w:rsidRPr="00F32B63">
        <w:rPr>
          <w:rFonts w:ascii="Arial" w:hAnsi="Arial" w:cs="Arial"/>
          <w:sz w:val="22"/>
          <w:szCs w:val="22"/>
          <w:lang w:val="en-US"/>
        </w:rPr>
        <w:t xml:space="preserve"> mainly due to increasing in </w:t>
      </w:r>
      <w:r w:rsidR="00F32B63" w:rsidRPr="00F32B63">
        <w:rPr>
          <w:rFonts w:ascii="Arial" w:hAnsi="Arial" w:cs="Arial"/>
          <w:sz w:val="22"/>
          <w:szCs w:val="22"/>
          <w:lang w:val="en-US"/>
        </w:rPr>
        <w:t>securities increment value fund</w:t>
      </w:r>
    </w:p>
    <w:p w:rsidR="00824093" w:rsidRPr="00F32B63" w:rsidRDefault="00824093" w:rsidP="008952F1">
      <w:pPr>
        <w:jc w:val="both"/>
        <w:rPr>
          <w:rFonts w:ascii="Arial" w:hAnsi="Arial" w:cs="Arial"/>
          <w:sz w:val="22"/>
          <w:szCs w:val="22"/>
          <w:lang w:val="en-US"/>
        </w:rPr>
      </w:pPr>
    </w:p>
    <w:p w:rsidR="008952F1" w:rsidRDefault="008952F1" w:rsidP="008952F1">
      <w:pPr>
        <w:jc w:val="both"/>
        <w:rPr>
          <w:rFonts w:ascii="Arial" w:hAnsi="Arial" w:cs="Arial"/>
          <w:b/>
          <w:sz w:val="22"/>
          <w:szCs w:val="22"/>
          <w:lang w:val="en-US"/>
        </w:rPr>
      </w:pPr>
      <w:r w:rsidRPr="003E42B5">
        <w:rPr>
          <w:rFonts w:ascii="Arial" w:hAnsi="Arial" w:cs="Arial"/>
          <w:b/>
          <w:sz w:val="22"/>
          <w:szCs w:val="22"/>
          <w:lang w:val="en-US"/>
        </w:rPr>
        <w:t>3. Profitability</w:t>
      </w:r>
    </w:p>
    <w:p w:rsidR="00EA4540" w:rsidRPr="006A1A10" w:rsidRDefault="00EA4540" w:rsidP="008952F1">
      <w:pPr>
        <w:jc w:val="both"/>
        <w:rPr>
          <w:rFonts w:ascii="Arial" w:hAnsi="Arial" w:cs="Arial"/>
          <w:b/>
          <w:sz w:val="10"/>
          <w:szCs w:val="10"/>
          <w:lang w:val="en-US"/>
        </w:rPr>
      </w:pPr>
    </w:p>
    <w:p w:rsidR="005A6C7C" w:rsidRDefault="00824093" w:rsidP="00824093">
      <w:pPr>
        <w:jc w:val="both"/>
        <w:rPr>
          <w:rFonts w:ascii="Arial" w:hAnsi="Arial" w:cs="Arial"/>
          <w:sz w:val="22"/>
          <w:szCs w:val="22"/>
          <w:lang w:val="en-US"/>
        </w:rPr>
      </w:pPr>
      <w:r w:rsidRPr="005A6C7C">
        <w:rPr>
          <w:rFonts w:ascii="Arial" w:hAnsi="Arial" w:cs="Arial"/>
          <w:sz w:val="22"/>
          <w:szCs w:val="22"/>
          <w:lang w:val="en-US"/>
        </w:rPr>
        <w:t xml:space="preserve">In the </w:t>
      </w:r>
      <w:r w:rsidR="005A6C7C" w:rsidRPr="005A6C7C">
        <w:rPr>
          <w:rFonts w:ascii="Arial" w:hAnsi="Arial" w:cs="Arial"/>
          <w:sz w:val="22"/>
          <w:szCs w:val="22"/>
          <w:lang w:val="en-US"/>
        </w:rPr>
        <w:t>second quarter</w:t>
      </w:r>
      <w:r w:rsidRPr="005A6C7C">
        <w:rPr>
          <w:rFonts w:ascii="Arial" w:hAnsi="Arial" w:cs="Arial"/>
          <w:sz w:val="22"/>
          <w:szCs w:val="22"/>
          <w:lang w:val="en-US"/>
        </w:rPr>
        <w:t xml:space="preserve"> of the year, </w:t>
      </w:r>
      <w:r w:rsidR="00FF0BF6" w:rsidRPr="005A6C7C">
        <w:rPr>
          <w:rFonts w:ascii="Arial" w:hAnsi="Arial" w:cs="Arial"/>
          <w:sz w:val="22"/>
          <w:szCs w:val="22"/>
          <w:lang w:val="en-US"/>
        </w:rPr>
        <w:t xml:space="preserve">as a result of </w:t>
      </w:r>
      <w:r w:rsidRPr="005A6C7C">
        <w:rPr>
          <w:rFonts w:ascii="Arial" w:hAnsi="Arial" w:cs="Arial"/>
          <w:sz w:val="22"/>
          <w:szCs w:val="22"/>
          <w:lang w:val="en-US"/>
        </w:rPr>
        <w:t xml:space="preserve">the </w:t>
      </w:r>
      <w:r w:rsidR="00FF0BF6" w:rsidRPr="005A6C7C">
        <w:rPr>
          <w:rFonts w:ascii="Arial" w:hAnsi="Arial" w:cs="Arial"/>
          <w:sz w:val="22"/>
          <w:szCs w:val="22"/>
          <w:lang w:val="en-US"/>
        </w:rPr>
        <w:t xml:space="preserve">high interest rates, </w:t>
      </w:r>
      <w:r w:rsidRPr="005A6C7C">
        <w:rPr>
          <w:rFonts w:ascii="Arial" w:hAnsi="Arial" w:cs="Arial"/>
          <w:sz w:val="22"/>
          <w:szCs w:val="22"/>
          <w:lang w:val="en-US"/>
        </w:rPr>
        <w:t>interest</w:t>
      </w:r>
      <w:r w:rsidR="00FF0BF6" w:rsidRPr="005A6C7C">
        <w:rPr>
          <w:rFonts w:ascii="Arial" w:hAnsi="Arial" w:cs="Arial"/>
          <w:sz w:val="22"/>
          <w:szCs w:val="22"/>
          <w:lang w:val="en-US"/>
        </w:rPr>
        <w:t xml:space="preserve"> income and</w:t>
      </w:r>
      <w:r w:rsidRPr="005A6C7C">
        <w:rPr>
          <w:rFonts w:ascii="Arial" w:hAnsi="Arial" w:cs="Arial"/>
          <w:sz w:val="22"/>
          <w:szCs w:val="22"/>
          <w:lang w:val="en-US"/>
        </w:rPr>
        <w:t xml:space="preserve"> interest expenses </w:t>
      </w:r>
      <w:r w:rsidR="00FF0BF6" w:rsidRPr="005A6C7C">
        <w:rPr>
          <w:rFonts w:ascii="Arial" w:hAnsi="Arial" w:cs="Arial"/>
          <w:sz w:val="22"/>
          <w:szCs w:val="22"/>
          <w:lang w:val="en-US"/>
        </w:rPr>
        <w:t>of the sector in</w:t>
      </w:r>
      <w:r w:rsidR="00591573" w:rsidRPr="005A6C7C">
        <w:rPr>
          <w:rFonts w:ascii="Arial" w:hAnsi="Arial" w:cs="Arial"/>
          <w:sz w:val="22"/>
          <w:szCs w:val="22"/>
          <w:lang w:val="en-US"/>
        </w:rPr>
        <w:t>creased by</w:t>
      </w:r>
      <w:r w:rsidRPr="005A6C7C">
        <w:rPr>
          <w:rFonts w:ascii="Arial" w:hAnsi="Arial" w:cs="Arial"/>
          <w:sz w:val="22"/>
          <w:szCs w:val="22"/>
          <w:lang w:val="en-US"/>
        </w:rPr>
        <w:t xml:space="preserve"> </w:t>
      </w:r>
      <w:r w:rsidR="005A6C7C" w:rsidRPr="005A6C7C">
        <w:rPr>
          <w:rFonts w:ascii="Arial" w:hAnsi="Arial" w:cs="Arial"/>
          <w:sz w:val="22"/>
          <w:szCs w:val="22"/>
          <w:lang w:val="en-US"/>
        </w:rPr>
        <w:t>26 and 56</w:t>
      </w:r>
      <w:r w:rsidRPr="005A6C7C">
        <w:rPr>
          <w:rFonts w:ascii="Arial" w:hAnsi="Arial" w:cs="Arial"/>
          <w:sz w:val="22"/>
          <w:szCs w:val="22"/>
          <w:lang w:val="en-US"/>
        </w:rPr>
        <w:t xml:space="preserve"> percent. Thus, net interest income </w:t>
      </w:r>
      <w:r w:rsidR="005A6C7C" w:rsidRPr="005A6C7C">
        <w:rPr>
          <w:rFonts w:ascii="Arial" w:hAnsi="Arial" w:cs="Arial"/>
          <w:sz w:val="22"/>
          <w:szCs w:val="22"/>
          <w:lang w:val="en-US"/>
        </w:rPr>
        <w:t>in</w:t>
      </w:r>
      <w:r w:rsidRPr="005A6C7C">
        <w:rPr>
          <w:rFonts w:ascii="Arial" w:hAnsi="Arial" w:cs="Arial"/>
          <w:sz w:val="22"/>
          <w:szCs w:val="22"/>
          <w:lang w:val="en-US"/>
        </w:rPr>
        <w:t xml:space="preserve">creased by </w:t>
      </w:r>
      <w:r w:rsidR="005A6C7C" w:rsidRPr="005A6C7C">
        <w:rPr>
          <w:rFonts w:ascii="Arial" w:hAnsi="Arial" w:cs="Arial"/>
          <w:sz w:val="22"/>
          <w:szCs w:val="22"/>
          <w:lang w:val="en-US"/>
        </w:rPr>
        <w:t>3</w:t>
      </w:r>
      <w:r w:rsidRPr="005A6C7C">
        <w:rPr>
          <w:rFonts w:ascii="Arial" w:hAnsi="Arial" w:cs="Arial"/>
          <w:sz w:val="22"/>
          <w:szCs w:val="22"/>
          <w:lang w:val="en-US"/>
        </w:rPr>
        <w:t xml:space="preserve"> percent compared to the same period of 201</w:t>
      </w:r>
      <w:r w:rsidR="00FF0BF6" w:rsidRPr="005A6C7C">
        <w:rPr>
          <w:rFonts w:ascii="Arial" w:hAnsi="Arial" w:cs="Arial"/>
          <w:sz w:val="22"/>
          <w:szCs w:val="22"/>
          <w:lang w:val="en-US"/>
        </w:rPr>
        <w:t>3</w:t>
      </w:r>
      <w:r w:rsidRPr="005A6C7C">
        <w:rPr>
          <w:rFonts w:ascii="Arial" w:hAnsi="Arial" w:cs="Arial"/>
          <w:sz w:val="22"/>
          <w:szCs w:val="22"/>
          <w:lang w:val="en-US"/>
        </w:rPr>
        <w:t>.</w:t>
      </w:r>
    </w:p>
    <w:p w:rsidR="006A1A10" w:rsidRDefault="006A1A10" w:rsidP="00824093">
      <w:pPr>
        <w:jc w:val="both"/>
        <w:rPr>
          <w:rFonts w:ascii="Arial" w:hAnsi="Arial" w:cs="Arial"/>
          <w:sz w:val="22"/>
          <w:szCs w:val="22"/>
          <w:lang w:val="en-US"/>
        </w:rPr>
      </w:pPr>
    </w:p>
    <w:p w:rsidR="006A1A10" w:rsidRPr="004B4005" w:rsidRDefault="006A1A10" w:rsidP="006A1A10">
      <w:r>
        <w:rPr>
          <w:rFonts w:ascii="Arial" w:hAnsi="Arial" w:cs="Arial"/>
          <w:sz w:val="22"/>
          <w:szCs w:val="22"/>
          <w:lang w:val="en-US"/>
        </w:rPr>
        <w:t xml:space="preserve">**: </w:t>
      </w:r>
      <w:r w:rsidRPr="006A1A10">
        <w:rPr>
          <w:rFonts w:ascii="Arial" w:hAnsi="Arial" w:cs="Arial"/>
          <w:sz w:val="18"/>
          <w:szCs w:val="22"/>
          <w:lang w:val="en-US"/>
        </w:rPr>
        <w:t>The difference between banking sector’s and banks groups’ loan to deposit ratio is due to loans of the development and investment banks that does not collect deposit</w:t>
      </w:r>
      <w:r w:rsidR="005C7F34">
        <w:rPr>
          <w:rFonts w:ascii="Arial" w:hAnsi="Arial" w:cs="Arial"/>
          <w:sz w:val="18"/>
          <w:szCs w:val="22"/>
          <w:lang w:val="en-US"/>
        </w:rPr>
        <w:t>.</w:t>
      </w:r>
    </w:p>
    <w:p w:rsidR="00EA4540" w:rsidRPr="005A6C7C" w:rsidRDefault="00EA4540" w:rsidP="00824093">
      <w:pPr>
        <w:jc w:val="both"/>
        <w:rPr>
          <w:rFonts w:ascii="Arial" w:hAnsi="Arial" w:cs="Arial"/>
          <w:sz w:val="22"/>
          <w:szCs w:val="22"/>
          <w:lang w:val="en-US"/>
        </w:rPr>
      </w:pPr>
    </w:p>
    <w:p w:rsidR="00EA4540" w:rsidRPr="00EA4540" w:rsidRDefault="00EA4540" w:rsidP="00EA4540">
      <w:pPr>
        <w:jc w:val="both"/>
        <w:rPr>
          <w:rFonts w:ascii="Arial" w:hAnsi="Arial" w:cs="Arial"/>
          <w:sz w:val="22"/>
          <w:szCs w:val="22"/>
          <w:lang w:val="en-US"/>
        </w:rPr>
      </w:pPr>
      <w:r w:rsidRPr="00EA4540">
        <w:rPr>
          <w:rFonts w:ascii="Arial" w:hAnsi="Arial" w:cs="Arial"/>
          <w:sz w:val="22"/>
          <w:szCs w:val="22"/>
          <w:lang w:val="en-US"/>
        </w:rPr>
        <w:lastRenderedPageBreak/>
        <w:t>In the first of 2014, the total profit volume of the sector decreased by 10 percent compared to the same period of the last year and fell to TL 12 billion.</w:t>
      </w:r>
    </w:p>
    <w:p w:rsidR="005A6C7C" w:rsidRDefault="005A6C7C" w:rsidP="00824093">
      <w:pPr>
        <w:jc w:val="both"/>
        <w:rPr>
          <w:rFonts w:ascii="Arial" w:hAnsi="Arial" w:cs="Arial"/>
          <w:color w:val="FF0000"/>
          <w:sz w:val="22"/>
          <w:szCs w:val="22"/>
          <w:lang w:val="en-US"/>
        </w:rPr>
      </w:pPr>
    </w:p>
    <w:p w:rsidR="00591573" w:rsidRPr="005A6C7C" w:rsidRDefault="005D2A56" w:rsidP="00591573">
      <w:pPr>
        <w:jc w:val="both"/>
        <w:rPr>
          <w:rFonts w:ascii="Arial" w:hAnsi="Arial" w:cs="Arial"/>
          <w:sz w:val="22"/>
          <w:szCs w:val="22"/>
          <w:lang w:val="en-US"/>
        </w:rPr>
      </w:pPr>
      <w:r w:rsidRPr="005A6C7C">
        <w:rPr>
          <w:rFonts w:ascii="Arial" w:hAnsi="Arial" w:cs="Arial"/>
          <w:sz w:val="22"/>
          <w:szCs w:val="22"/>
          <w:lang w:val="en-US"/>
        </w:rPr>
        <w:t>P</w:t>
      </w:r>
      <w:r w:rsidR="00591573" w:rsidRPr="005A6C7C">
        <w:rPr>
          <w:rFonts w:ascii="Arial" w:hAnsi="Arial" w:cs="Arial"/>
          <w:sz w:val="22"/>
          <w:szCs w:val="22"/>
          <w:lang w:val="en-US"/>
        </w:rPr>
        <w:t xml:space="preserve">rofitability ratios </w:t>
      </w:r>
      <w:r w:rsidR="00F94BCB" w:rsidRPr="005A6C7C">
        <w:rPr>
          <w:rFonts w:ascii="Arial" w:hAnsi="Arial" w:cs="Arial"/>
          <w:sz w:val="22"/>
          <w:szCs w:val="22"/>
          <w:lang w:val="en-US"/>
        </w:rPr>
        <w:t>continued to deteriorate</w:t>
      </w:r>
      <w:r w:rsidR="00591573" w:rsidRPr="005A6C7C">
        <w:rPr>
          <w:rFonts w:ascii="Arial" w:hAnsi="Arial" w:cs="Arial"/>
          <w:sz w:val="22"/>
          <w:szCs w:val="22"/>
          <w:lang w:val="en-US"/>
        </w:rPr>
        <w:t xml:space="preserve"> compared to last year</w:t>
      </w:r>
      <w:r w:rsidRPr="005A6C7C">
        <w:rPr>
          <w:rFonts w:ascii="Arial" w:hAnsi="Arial" w:cs="Arial"/>
          <w:sz w:val="22"/>
          <w:szCs w:val="22"/>
          <w:lang w:val="en-US"/>
        </w:rPr>
        <w:t xml:space="preserve"> on annual basis</w:t>
      </w:r>
      <w:r w:rsidR="00591573" w:rsidRPr="005A6C7C">
        <w:rPr>
          <w:rFonts w:ascii="Arial" w:hAnsi="Arial" w:cs="Arial"/>
          <w:sz w:val="22"/>
          <w:szCs w:val="22"/>
          <w:lang w:val="en-US"/>
        </w:rPr>
        <w:t xml:space="preserve">. While </w:t>
      </w:r>
      <w:r w:rsidR="00F62656">
        <w:rPr>
          <w:rFonts w:ascii="Arial" w:hAnsi="Arial" w:cs="Arial"/>
          <w:sz w:val="22"/>
          <w:szCs w:val="22"/>
          <w:lang w:val="en-US"/>
        </w:rPr>
        <w:t xml:space="preserve">average </w:t>
      </w:r>
      <w:r w:rsidR="00591573" w:rsidRPr="005A6C7C">
        <w:rPr>
          <w:rFonts w:ascii="Arial" w:hAnsi="Arial" w:cs="Arial"/>
          <w:sz w:val="22"/>
          <w:szCs w:val="22"/>
          <w:lang w:val="en-US"/>
        </w:rPr>
        <w:t xml:space="preserve">return on equity </w:t>
      </w:r>
      <w:r w:rsidR="00852E79" w:rsidRPr="005A6C7C">
        <w:rPr>
          <w:rFonts w:ascii="Arial" w:hAnsi="Arial" w:cs="Arial"/>
          <w:sz w:val="22"/>
          <w:szCs w:val="22"/>
          <w:lang w:val="en-US"/>
        </w:rPr>
        <w:t>was</w:t>
      </w:r>
      <w:r w:rsidR="00591573" w:rsidRPr="005A6C7C">
        <w:rPr>
          <w:rFonts w:ascii="Arial" w:hAnsi="Arial" w:cs="Arial"/>
          <w:sz w:val="22"/>
          <w:szCs w:val="22"/>
          <w:lang w:val="en-US"/>
        </w:rPr>
        <w:t xml:space="preserve"> around </w:t>
      </w:r>
      <w:r w:rsidR="00F62656">
        <w:rPr>
          <w:rFonts w:ascii="Arial" w:hAnsi="Arial" w:cs="Arial"/>
          <w:sz w:val="22"/>
          <w:szCs w:val="22"/>
          <w:lang w:val="en-US"/>
        </w:rPr>
        <w:t>11.7</w:t>
      </w:r>
      <w:r w:rsidR="005A6C7C" w:rsidRPr="005A6C7C">
        <w:rPr>
          <w:rFonts w:ascii="Arial" w:hAnsi="Arial" w:cs="Arial"/>
          <w:sz w:val="22"/>
          <w:szCs w:val="22"/>
          <w:lang w:val="en-US"/>
        </w:rPr>
        <w:t xml:space="preserve"> </w:t>
      </w:r>
      <w:r w:rsidR="00591573" w:rsidRPr="005A6C7C">
        <w:rPr>
          <w:rFonts w:ascii="Arial" w:hAnsi="Arial" w:cs="Arial"/>
          <w:sz w:val="22"/>
          <w:szCs w:val="22"/>
          <w:lang w:val="en-US"/>
        </w:rPr>
        <w:t xml:space="preserve">percent, </w:t>
      </w:r>
      <w:r w:rsidR="00F62656">
        <w:rPr>
          <w:rFonts w:ascii="Arial" w:hAnsi="Arial" w:cs="Arial"/>
          <w:sz w:val="22"/>
          <w:szCs w:val="22"/>
          <w:lang w:val="en-US"/>
        </w:rPr>
        <w:t xml:space="preserve">average </w:t>
      </w:r>
      <w:r w:rsidR="00591573" w:rsidRPr="005A6C7C">
        <w:rPr>
          <w:rFonts w:ascii="Arial" w:hAnsi="Arial" w:cs="Arial"/>
          <w:sz w:val="22"/>
          <w:szCs w:val="22"/>
          <w:lang w:val="en-US"/>
        </w:rPr>
        <w:t>return on assets at the r</w:t>
      </w:r>
      <w:r w:rsidR="005A6C7C" w:rsidRPr="005A6C7C">
        <w:rPr>
          <w:rFonts w:ascii="Arial" w:hAnsi="Arial" w:cs="Arial"/>
          <w:sz w:val="22"/>
          <w:szCs w:val="22"/>
          <w:lang w:val="en-US"/>
        </w:rPr>
        <w:t>ate of 1.3</w:t>
      </w:r>
      <w:r w:rsidR="00FF0BF6" w:rsidRPr="005A6C7C">
        <w:rPr>
          <w:rFonts w:ascii="Arial" w:hAnsi="Arial" w:cs="Arial"/>
          <w:sz w:val="22"/>
          <w:szCs w:val="22"/>
          <w:lang w:val="en-US"/>
        </w:rPr>
        <w:t xml:space="preserve"> percent by </w:t>
      </w:r>
      <w:r w:rsidR="005A6C7C" w:rsidRPr="005A6C7C">
        <w:rPr>
          <w:rFonts w:ascii="Arial" w:hAnsi="Arial" w:cs="Arial"/>
          <w:sz w:val="22"/>
          <w:szCs w:val="22"/>
          <w:lang w:val="en-US"/>
        </w:rPr>
        <w:t>June</w:t>
      </w:r>
      <w:r w:rsidR="00FF0BF6" w:rsidRPr="005A6C7C">
        <w:rPr>
          <w:rFonts w:ascii="Arial" w:hAnsi="Arial" w:cs="Arial"/>
          <w:sz w:val="22"/>
          <w:szCs w:val="22"/>
          <w:lang w:val="en-US"/>
        </w:rPr>
        <w:t xml:space="preserve"> 2014</w:t>
      </w:r>
      <w:r w:rsidR="00591573" w:rsidRPr="005A6C7C">
        <w:rPr>
          <w:rFonts w:ascii="Arial" w:hAnsi="Arial" w:cs="Arial"/>
          <w:sz w:val="22"/>
          <w:szCs w:val="22"/>
          <w:lang w:val="en-US"/>
        </w:rPr>
        <w:t>.</w:t>
      </w:r>
    </w:p>
    <w:p w:rsidR="00591573" w:rsidRPr="00E3486E" w:rsidRDefault="00591573" w:rsidP="00591573">
      <w:pPr>
        <w:jc w:val="both"/>
        <w:rPr>
          <w:rFonts w:ascii="Arial" w:hAnsi="Arial" w:cs="Arial"/>
          <w:color w:val="FF0000"/>
          <w:sz w:val="22"/>
          <w:szCs w:val="22"/>
          <w:lang w:val="en-US"/>
        </w:rPr>
      </w:pPr>
    </w:p>
    <w:p w:rsidR="00A17C32" w:rsidRPr="005A6C7C" w:rsidRDefault="00A17C32" w:rsidP="00A17C32">
      <w:pPr>
        <w:jc w:val="both"/>
        <w:rPr>
          <w:rFonts w:ascii="Arial" w:hAnsi="Arial" w:cs="Arial"/>
          <w:sz w:val="22"/>
          <w:szCs w:val="22"/>
          <w:lang w:val="en-US"/>
        </w:rPr>
      </w:pPr>
      <w:r w:rsidRPr="005A6C7C">
        <w:rPr>
          <w:rFonts w:ascii="Arial" w:hAnsi="Arial" w:cs="Arial"/>
          <w:sz w:val="22"/>
          <w:szCs w:val="22"/>
          <w:lang w:val="en-US"/>
        </w:rPr>
        <w:t xml:space="preserve">By </w:t>
      </w:r>
      <w:r w:rsidR="005A6C7C" w:rsidRPr="005A6C7C">
        <w:rPr>
          <w:rFonts w:ascii="Arial" w:hAnsi="Arial" w:cs="Arial"/>
          <w:sz w:val="22"/>
          <w:szCs w:val="22"/>
          <w:lang w:val="en-US"/>
        </w:rPr>
        <w:t xml:space="preserve">June </w:t>
      </w:r>
      <w:r w:rsidRPr="005A6C7C">
        <w:rPr>
          <w:rFonts w:ascii="Arial" w:hAnsi="Arial" w:cs="Arial"/>
          <w:sz w:val="22"/>
          <w:szCs w:val="22"/>
          <w:lang w:val="en-US"/>
        </w:rPr>
        <w:t>201</w:t>
      </w:r>
      <w:r w:rsidR="00FF0BF6" w:rsidRPr="005A6C7C">
        <w:rPr>
          <w:rFonts w:ascii="Arial" w:hAnsi="Arial" w:cs="Arial"/>
          <w:sz w:val="22"/>
          <w:szCs w:val="22"/>
          <w:lang w:val="en-US"/>
        </w:rPr>
        <w:t>4</w:t>
      </w:r>
      <w:r w:rsidRPr="005A6C7C">
        <w:rPr>
          <w:rFonts w:ascii="Arial" w:hAnsi="Arial" w:cs="Arial"/>
          <w:sz w:val="22"/>
          <w:szCs w:val="22"/>
          <w:lang w:val="en-US"/>
        </w:rPr>
        <w:t>, the ratio of TL equivalent of</w:t>
      </w:r>
      <w:r w:rsidR="00844FA5" w:rsidRPr="005A6C7C">
        <w:rPr>
          <w:rFonts w:ascii="Arial" w:hAnsi="Arial" w:cs="Arial"/>
          <w:sz w:val="22"/>
          <w:szCs w:val="22"/>
          <w:lang w:val="en-US"/>
        </w:rPr>
        <w:t xml:space="preserve"> FX assets to total assets and </w:t>
      </w:r>
      <w:r w:rsidRPr="005A6C7C">
        <w:rPr>
          <w:rFonts w:ascii="Arial" w:hAnsi="Arial" w:cs="Arial"/>
          <w:sz w:val="22"/>
          <w:szCs w:val="22"/>
          <w:lang w:val="en-US"/>
        </w:rPr>
        <w:t>the ratio of TL equivalent of FX liabilities to total liabilities became 3</w:t>
      </w:r>
      <w:r w:rsidR="005A6C7C" w:rsidRPr="005A6C7C">
        <w:rPr>
          <w:rFonts w:ascii="Arial" w:hAnsi="Arial" w:cs="Arial"/>
          <w:sz w:val="22"/>
          <w:szCs w:val="22"/>
          <w:lang w:val="en-US"/>
        </w:rPr>
        <w:t>4 and 41</w:t>
      </w:r>
      <w:r w:rsidRPr="005A6C7C">
        <w:rPr>
          <w:rFonts w:ascii="Arial" w:hAnsi="Arial" w:cs="Arial"/>
          <w:sz w:val="22"/>
          <w:szCs w:val="22"/>
          <w:lang w:val="en-US"/>
        </w:rPr>
        <w:t xml:space="preserve"> percent respectively.</w:t>
      </w:r>
    </w:p>
    <w:p w:rsidR="006E6B65" w:rsidRPr="00E3486E" w:rsidRDefault="006E6B65" w:rsidP="006E6B65">
      <w:pPr>
        <w:jc w:val="both"/>
        <w:rPr>
          <w:rFonts w:ascii="Arial" w:hAnsi="Arial" w:cs="Arial"/>
          <w:color w:val="FF0000"/>
          <w:sz w:val="22"/>
          <w:szCs w:val="22"/>
          <w:lang w:val="en-US"/>
        </w:rPr>
      </w:pPr>
    </w:p>
    <w:p w:rsidR="00EA4540" w:rsidRPr="00EA4540" w:rsidRDefault="009B1730" w:rsidP="00EA4540">
      <w:pPr>
        <w:rPr>
          <w:rFonts w:ascii="Arial" w:hAnsi="Arial" w:cs="Arial"/>
          <w:color w:val="FF0000"/>
          <w:sz w:val="22"/>
          <w:szCs w:val="22"/>
          <w:lang w:val="en-US"/>
        </w:rPr>
      </w:pPr>
      <w:r w:rsidRPr="005A6C7C">
        <w:rPr>
          <w:rFonts w:ascii="Arial" w:hAnsi="Arial" w:cs="Arial"/>
          <w:sz w:val="22"/>
          <w:szCs w:val="22"/>
          <w:lang w:val="en-US"/>
        </w:rPr>
        <w:t xml:space="preserve">Considering maturity, </w:t>
      </w:r>
      <w:r w:rsidR="00A17C32" w:rsidRPr="005A6C7C">
        <w:rPr>
          <w:rFonts w:ascii="Arial" w:hAnsi="Arial" w:cs="Arial"/>
          <w:sz w:val="22"/>
          <w:szCs w:val="22"/>
          <w:lang w:val="en-US"/>
        </w:rPr>
        <w:t>52</w:t>
      </w:r>
      <w:r w:rsidRPr="005A6C7C">
        <w:rPr>
          <w:rFonts w:ascii="Arial" w:hAnsi="Arial" w:cs="Arial"/>
          <w:sz w:val="22"/>
          <w:szCs w:val="22"/>
          <w:lang w:val="en-US"/>
        </w:rPr>
        <w:t xml:space="preserve"> percent of total assets and </w:t>
      </w:r>
      <w:r w:rsidR="00A17C32" w:rsidRPr="005A6C7C">
        <w:rPr>
          <w:rFonts w:ascii="Arial" w:hAnsi="Arial" w:cs="Arial"/>
          <w:sz w:val="22"/>
          <w:szCs w:val="22"/>
          <w:lang w:val="en-US"/>
        </w:rPr>
        <w:t>7</w:t>
      </w:r>
      <w:r w:rsidR="005A6C7C" w:rsidRPr="005A6C7C">
        <w:rPr>
          <w:rFonts w:ascii="Arial" w:hAnsi="Arial" w:cs="Arial"/>
          <w:sz w:val="22"/>
          <w:szCs w:val="22"/>
          <w:lang w:val="en-US"/>
        </w:rPr>
        <w:t>7</w:t>
      </w:r>
      <w:r w:rsidRPr="005A6C7C">
        <w:rPr>
          <w:rFonts w:ascii="Arial" w:hAnsi="Arial" w:cs="Arial"/>
          <w:sz w:val="22"/>
          <w:szCs w:val="22"/>
          <w:lang w:val="en-US"/>
        </w:rPr>
        <w:t xml:space="preserve"> percent of total liabilities had a maturity of less than 1 year.</w:t>
      </w:r>
      <w:r w:rsidRPr="00E3486E">
        <w:rPr>
          <w:rFonts w:ascii="Arial" w:hAnsi="Arial" w:cs="Arial"/>
          <w:color w:val="FF0000"/>
          <w:sz w:val="22"/>
          <w:szCs w:val="22"/>
          <w:lang w:val="en-US"/>
        </w:rPr>
        <w:t xml:space="preserve"> </w:t>
      </w:r>
      <w:r w:rsidR="00EA4540" w:rsidRPr="00EA4540">
        <w:rPr>
          <w:rFonts w:ascii="Arial" w:hAnsi="Arial" w:cs="Arial"/>
          <w:sz w:val="22"/>
          <w:szCs w:val="22"/>
          <w:lang w:val="en-US"/>
        </w:rPr>
        <w:t>5 years and 16 percent of total assets had a maturity 5 years and over while their share in total liabilities is 3 percent.</w:t>
      </w:r>
    </w:p>
    <w:p w:rsidR="009B1730" w:rsidRPr="00E3486E" w:rsidRDefault="009B1730" w:rsidP="007551FF">
      <w:pPr>
        <w:jc w:val="both"/>
        <w:rPr>
          <w:rFonts w:ascii="Arial" w:hAnsi="Arial" w:cs="Arial"/>
          <w:color w:val="FF0000"/>
          <w:sz w:val="22"/>
          <w:szCs w:val="22"/>
          <w:lang w:val="en-US"/>
        </w:rPr>
      </w:pPr>
    </w:p>
    <w:p w:rsidR="009B1730" w:rsidRPr="005A6C7C" w:rsidRDefault="006E6B65" w:rsidP="007551FF">
      <w:pPr>
        <w:jc w:val="both"/>
        <w:rPr>
          <w:rFonts w:ascii="Arial" w:hAnsi="Arial" w:cs="Arial"/>
          <w:b/>
          <w:sz w:val="22"/>
          <w:szCs w:val="22"/>
          <w:lang w:val="en-US"/>
        </w:rPr>
      </w:pPr>
      <w:r w:rsidRPr="005A6C7C">
        <w:rPr>
          <w:rFonts w:ascii="Arial" w:hAnsi="Arial" w:cs="Arial"/>
          <w:b/>
          <w:sz w:val="22"/>
          <w:szCs w:val="22"/>
          <w:lang w:val="en-US"/>
        </w:rPr>
        <w:t>4</w:t>
      </w:r>
      <w:r w:rsidR="002F25B9" w:rsidRPr="005A6C7C">
        <w:rPr>
          <w:rFonts w:ascii="Arial" w:hAnsi="Arial" w:cs="Arial"/>
          <w:b/>
          <w:sz w:val="22"/>
          <w:szCs w:val="22"/>
          <w:lang w:val="en-US"/>
        </w:rPr>
        <w:t>.</w:t>
      </w:r>
      <w:r w:rsidR="009B1730" w:rsidRPr="005A6C7C">
        <w:rPr>
          <w:rFonts w:ascii="Arial" w:hAnsi="Arial" w:cs="Arial"/>
          <w:b/>
          <w:sz w:val="22"/>
          <w:szCs w:val="22"/>
          <w:lang w:val="en-US"/>
        </w:rPr>
        <w:t xml:space="preserve"> Selected Issues</w:t>
      </w:r>
    </w:p>
    <w:p w:rsidR="009B1730" w:rsidRPr="005A6C7C" w:rsidRDefault="009B1730" w:rsidP="007551FF">
      <w:pPr>
        <w:jc w:val="both"/>
        <w:rPr>
          <w:rFonts w:ascii="Arial" w:hAnsi="Arial" w:cs="Arial"/>
          <w:sz w:val="22"/>
          <w:szCs w:val="22"/>
          <w:lang w:val="en-US"/>
        </w:rPr>
      </w:pPr>
    </w:p>
    <w:p w:rsidR="008B5A33" w:rsidRPr="005A6C7C" w:rsidRDefault="009B1730" w:rsidP="00B9537E">
      <w:pPr>
        <w:jc w:val="both"/>
        <w:outlineLvl w:val="0"/>
        <w:rPr>
          <w:rFonts w:ascii="Arial" w:hAnsi="Arial" w:cs="Arial"/>
          <w:sz w:val="22"/>
          <w:szCs w:val="22"/>
          <w:lang w:val="en-US"/>
        </w:rPr>
      </w:pPr>
      <w:r w:rsidRPr="005A6C7C">
        <w:rPr>
          <w:rFonts w:ascii="Arial" w:hAnsi="Arial" w:cs="Arial"/>
          <w:sz w:val="22"/>
          <w:szCs w:val="22"/>
          <w:lang w:val="en-US"/>
        </w:rPr>
        <w:t xml:space="preserve">As of </w:t>
      </w:r>
      <w:r w:rsidR="005A6C7C" w:rsidRPr="005A6C7C">
        <w:rPr>
          <w:rFonts w:ascii="Arial" w:hAnsi="Arial" w:cs="Arial"/>
          <w:sz w:val="22"/>
          <w:szCs w:val="22"/>
          <w:lang w:val="en-US"/>
        </w:rPr>
        <w:t>June</w:t>
      </w:r>
      <w:r w:rsidR="008B5A33" w:rsidRPr="005A6C7C">
        <w:rPr>
          <w:rFonts w:ascii="Arial" w:hAnsi="Arial" w:cs="Arial"/>
          <w:sz w:val="22"/>
          <w:szCs w:val="22"/>
          <w:lang w:val="en-US"/>
        </w:rPr>
        <w:t xml:space="preserve"> 201</w:t>
      </w:r>
      <w:r w:rsidR="00FF0BF6" w:rsidRPr="005A6C7C">
        <w:rPr>
          <w:rFonts w:ascii="Arial" w:hAnsi="Arial" w:cs="Arial"/>
          <w:sz w:val="22"/>
          <w:szCs w:val="22"/>
          <w:lang w:val="en-US"/>
        </w:rPr>
        <w:t>4</w:t>
      </w:r>
      <w:r w:rsidRPr="005A6C7C">
        <w:rPr>
          <w:rFonts w:ascii="Arial" w:hAnsi="Arial" w:cs="Arial"/>
          <w:sz w:val="22"/>
          <w:szCs w:val="22"/>
          <w:lang w:val="en-US"/>
        </w:rPr>
        <w:t>, 4</w:t>
      </w:r>
      <w:r w:rsidR="005A6C7C" w:rsidRPr="005A6C7C">
        <w:rPr>
          <w:rFonts w:ascii="Arial" w:hAnsi="Arial" w:cs="Arial"/>
          <w:sz w:val="22"/>
          <w:szCs w:val="22"/>
          <w:lang w:val="en-US"/>
        </w:rPr>
        <w:t>4</w:t>
      </w:r>
      <w:r w:rsidRPr="005A6C7C">
        <w:rPr>
          <w:rFonts w:ascii="Arial" w:hAnsi="Arial" w:cs="Arial"/>
          <w:sz w:val="22"/>
          <w:szCs w:val="22"/>
          <w:lang w:val="en-US"/>
        </w:rPr>
        <w:t xml:space="preserve"> banks </w:t>
      </w:r>
      <w:r w:rsidR="00852E79" w:rsidRPr="005A6C7C">
        <w:rPr>
          <w:rFonts w:ascii="Arial" w:hAnsi="Arial" w:cs="Arial"/>
          <w:sz w:val="22"/>
          <w:szCs w:val="22"/>
          <w:lang w:val="en-US"/>
        </w:rPr>
        <w:t>were</w:t>
      </w:r>
      <w:r w:rsidRPr="005A6C7C">
        <w:rPr>
          <w:rFonts w:ascii="Arial" w:hAnsi="Arial" w:cs="Arial"/>
          <w:sz w:val="22"/>
          <w:szCs w:val="22"/>
          <w:lang w:val="en-US"/>
        </w:rPr>
        <w:t xml:space="preserve"> operating in Turkey. The number of branches and employees increased by </w:t>
      </w:r>
      <w:r w:rsidR="005A6C7C" w:rsidRPr="005A6C7C">
        <w:rPr>
          <w:rFonts w:ascii="Arial" w:hAnsi="Arial" w:cs="Arial"/>
          <w:sz w:val="22"/>
          <w:szCs w:val="22"/>
          <w:lang w:val="en-US"/>
        </w:rPr>
        <w:t>79</w:t>
      </w:r>
      <w:r w:rsidR="00FF0BF6" w:rsidRPr="005A6C7C">
        <w:rPr>
          <w:rFonts w:ascii="Arial" w:hAnsi="Arial" w:cs="Arial"/>
          <w:sz w:val="22"/>
          <w:szCs w:val="22"/>
          <w:lang w:val="en-US"/>
        </w:rPr>
        <w:t xml:space="preserve"> </w:t>
      </w:r>
      <w:r w:rsidR="006E6B65" w:rsidRPr="005A6C7C">
        <w:rPr>
          <w:rFonts w:ascii="Arial" w:hAnsi="Arial" w:cs="Arial"/>
          <w:sz w:val="22"/>
          <w:szCs w:val="22"/>
          <w:lang w:val="en-US"/>
        </w:rPr>
        <w:t xml:space="preserve">and </w:t>
      </w:r>
      <w:r w:rsidR="005A6C7C" w:rsidRPr="005A6C7C">
        <w:rPr>
          <w:rFonts w:ascii="Arial" w:hAnsi="Arial" w:cs="Arial"/>
          <w:sz w:val="22"/>
          <w:szCs w:val="22"/>
          <w:lang w:val="en-US"/>
        </w:rPr>
        <w:t>569</w:t>
      </w:r>
      <w:r w:rsidR="006E6B65" w:rsidRPr="005A6C7C">
        <w:rPr>
          <w:rFonts w:ascii="Arial" w:hAnsi="Arial" w:cs="Arial"/>
          <w:sz w:val="22"/>
          <w:szCs w:val="22"/>
          <w:lang w:val="en-US"/>
        </w:rPr>
        <w:t xml:space="preserve"> </w:t>
      </w:r>
      <w:r w:rsidR="007A0209" w:rsidRPr="005A6C7C">
        <w:rPr>
          <w:rFonts w:ascii="Arial" w:hAnsi="Arial" w:cs="Arial"/>
          <w:sz w:val="22"/>
          <w:szCs w:val="22"/>
          <w:lang w:val="en-US"/>
        </w:rPr>
        <w:t xml:space="preserve">to </w:t>
      </w:r>
      <w:r w:rsidR="005A6C7C" w:rsidRPr="005A6C7C">
        <w:rPr>
          <w:rFonts w:ascii="Arial" w:hAnsi="Arial" w:cs="Arial"/>
          <w:sz w:val="22"/>
          <w:szCs w:val="22"/>
          <w:lang w:val="en-US"/>
        </w:rPr>
        <w:t>11,131</w:t>
      </w:r>
      <w:r w:rsidR="00FF0BF6" w:rsidRPr="005A6C7C">
        <w:rPr>
          <w:rFonts w:ascii="Arial" w:hAnsi="Arial" w:cs="Arial"/>
          <w:sz w:val="22"/>
          <w:szCs w:val="22"/>
          <w:lang w:val="en-US"/>
        </w:rPr>
        <w:t xml:space="preserve"> and 19</w:t>
      </w:r>
      <w:r w:rsidR="008B5A33" w:rsidRPr="005A6C7C">
        <w:rPr>
          <w:rFonts w:ascii="Arial" w:hAnsi="Arial" w:cs="Arial"/>
          <w:sz w:val="22"/>
          <w:szCs w:val="22"/>
          <w:lang w:val="en-US"/>
        </w:rPr>
        <w:t>8</w:t>
      </w:r>
      <w:r w:rsidR="006E6B65" w:rsidRPr="005A6C7C">
        <w:rPr>
          <w:rFonts w:ascii="Arial" w:hAnsi="Arial" w:cs="Arial"/>
          <w:sz w:val="22"/>
          <w:szCs w:val="22"/>
          <w:lang w:val="en-US"/>
        </w:rPr>
        <w:t>,</w:t>
      </w:r>
      <w:r w:rsidR="005A6C7C" w:rsidRPr="005A6C7C">
        <w:rPr>
          <w:rFonts w:ascii="Arial" w:hAnsi="Arial" w:cs="Arial"/>
          <w:sz w:val="22"/>
          <w:szCs w:val="22"/>
          <w:lang w:val="en-US"/>
        </w:rPr>
        <w:t>640</w:t>
      </w:r>
      <w:r w:rsidRPr="005A6C7C">
        <w:rPr>
          <w:rFonts w:ascii="Arial" w:hAnsi="Arial" w:cs="Arial"/>
          <w:sz w:val="22"/>
          <w:szCs w:val="22"/>
          <w:lang w:val="en-US"/>
        </w:rPr>
        <w:t xml:space="preserve"> in the same period, respectively.</w:t>
      </w:r>
      <w:r w:rsidR="00B9537E" w:rsidRPr="005A6C7C">
        <w:rPr>
          <w:rFonts w:ascii="Arial" w:hAnsi="Arial" w:cs="Arial"/>
          <w:sz w:val="22"/>
          <w:szCs w:val="22"/>
          <w:lang w:val="en-US"/>
        </w:rPr>
        <w:t xml:space="preserve"> </w:t>
      </w:r>
    </w:p>
    <w:p w:rsidR="008B5A33" w:rsidRPr="005A6C7C" w:rsidRDefault="008B5A33" w:rsidP="00B9537E">
      <w:pPr>
        <w:jc w:val="both"/>
        <w:outlineLvl w:val="0"/>
        <w:rPr>
          <w:rFonts w:ascii="Arial" w:hAnsi="Arial" w:cs="Arial"/>
          <w:sz w:val="22"/>
          <w:szCs w:val="22"/>
          <w:lang w:val="en-US"/>
        </w:rPr>
      </w:pPr>
    </w:p>
    <w:p w:rsidR="009B1730" w:rsidRPr="005A6C7C" w:rsidRDefault="009B1730" w:rsidP="00B9537E">
      <w:pPr>
        <w:jc w:val="both"/>
        <w:outlineLvl w:val="0"/>
        <w:rPr>
          <w:rFonts w:ascii="Arial" w:hAnsi="Arial" w:cs="Arial"/>
          <w:sz w:val="22"/>
          <w:szCs w:val="22"/>
          <w:lang w:val="en-US"/>
        </w:rPr>
      </w:pPr>
      <w:r w:rsidRPr="005A6C7C">
        <w:rPr>
          <w:rFonts w:ascii="Arial" w:hAnsi="Arial" w:cs="Arial"/>
          <w:sz w:val="22"/>
          <w:szCs w:val="22"/>
          <w:lang w:val="en-US"/>
        </w:rPr>
        <w:t>The share of fi</w:t>
      </w:r>
      <w:r w:rsidR="001B440B" w:rsidRPr="005A6C7C">
        <w:rPr>
          <w:rFonts w:ascii="Arial" w:hAnsi="Arial" w:cs="Arial"/>
          <w:sz w:val="22"/>
          <w:szCs w:val="22"/>
          <w:lang w:val="en-US"/>
        </w:rPr>
        <w:t>rst five banks in total assets</w:t>
      </w:r>
      <w:r w:rsidR="00AD0734" w:rsidRPr="005A6C7C">
        <w:rPr>
          <w:rFonts w:ascii="Arial" w:hAnsi="Arial" w:cs="Arial"/>
          <w:sz w:val="22"/>
          <w:szCs w:val="22"/>
          <w:lang w:val="en-US"/>
        </w:rPr>
        <w:t xml:space="preserve"> </w:t>
      </w:r>
      <w:r w:rsidR="008B5A33" w:rsidRPr="005A6C7C">
        <w:rPr>
          <w:rFonts w:ascii="Arial" w:hAnsi="Arial" w:cs="Arial"/>
          <w:sz w:val="22"/>
          <w:szCs w:val="22"/>
          <w:lang w:val="en-US"/>
        </w:rPr>
        <w:t>was</w:t>
      </w:r>
      <w:r w:rsidR="00E95E14" w:rsidRPr="005A6C7C">
        <w:rPr>
          <w:rFonts w:ascii="Arial" w:hAnsi="Arial" w:cs="Arial"/>
          <w:sz w:val="22"/>
          <w:szCs w:val="22"/>
          <w:lang w:val="en-US"/>
        </w:rPr>
        <w:t xml:space="preserve"> </w:t>
      </w:r>
      <w:r w:rsidR="008B5A33" w:rsidRPr="005A6C7C">
        <w:rPr>
          <w:rFonts w:ascii="Arial" w:hAnsi="Arial" w:cs="Arial"/>
          <w:sz w:val="22"/>
          <w:szCs w:val="22"/>
          <w:lang w:val="en-US"/>
        </w:rPr>
        <w:t>5</w:t>
      </w:r>
      <w:r w:rsidR="00FF0BF6" w:rsidRPr="005A6C7C">
        <w:rPr>
          <w:rFonts w:ascii="Arial" w:hAnsi="Arial" w:cs="Arial"/>
          <w:sz w:val="22"/>
          <w:szCs w:val="22"/>
          <w:lang w:val="en-US"/>
        </w:rPr>
        <w:t>8</w:t>
      </w:r>
      <w:r w:rsidR="00E95E14" w:rsidRPr="005A6C7C">
        <w:rPr>
          <w:rFonts w:ascii="Arial" w:hAnsi="Arial" w:cs="Arial"/>
          <w:sz w:val="22"/>
          <w:szCs w:val="22"/>
          <w:lang w:val="en-US"/>
        </w:rPr>
        <w:t xml:space="preserve"> percent while their shares in total loans and deposits </w:t>
      </w:r>
      <w:r w:rsidR="00F94BCB" w:rsidRPr="005A6C7C">
        <w:rPr>
          <w:rFonts w:ascii="Arial" w:hAnsi="Arial" w:cs="Arial"/>
          <w:sz w:val="22"/>
          <w:szCs w:val="22"/>
          <w:lang w:val="en-US"/>
        </w:rPr>
        <w:t>were</w:t>
      </w:r>
      <w:r w:rsidR="00E95E14" w:rsidRPr="005A6C7C">
        <w:rPr>
          <w:rFonts w:ascii="Arial" w:hAnsi="Arial" w:cs="Arial"/>
          <w:sz w:val="22"/>
          <w:szCs w:val="22"/>
          <w:lang w:val="en-US"/>
        </w:rPr>
        <w:t xml:space="preserve"> at the rate of 5</w:t>
      </w:r>
      <w:r w:rsidR="00FF0BF6" w:rsidRPr="005A6C7C">
        <w:rPr>
          <w:rFonts w:ascii="Arial" w:hAnsi="Arial" w:cs="Arial"/>
          <w:sz w:val="22"/>
          <w:szCs w:val="22"/>
          <w:lang w:val="en-US"/>
        </w:rPr>
        <w:t>6</w:t>
      </w:r>
      <w:r w:rsidR="00E95E14" w:rsidRPr="005A6C7C">
        <w:rPr>
          <w:rFonts w:ascii="Arial" w:hAnsi="Arial" w:cs="Arial"/>
          <w:sz w:val="22"/>
          <w:szCs w:val="22"/>
          <w:lang w:val="en-US"/>
        </w:rPr>
        <w:t xml:space="preserve"> and </w:t>
      </w:r>
      <w:r w:rsidR="005A6C7C" w:rsidRPr="005A6C7C">
        <w:rPr>
          <w:rFonts w:ascii="Arial" w:hAnsi="Arial" w:cs="Arial"/>
          <w:sz w:val="22"/>
          <w:szCs w:val="22"/>
          <w:lang w:val="en-US"/>
        </w:rPr>
        <w:t>60</w:t>
      </w:r>
      <w:r w:rsidR="00E95E14" w:rsidRPr="005A6C7C">
        <w:rPr>
          <w:rFonts w:ascii="Arial" w:hAnsi="Arial" w:cs="Arial"/>
          <w:sz w:val="22"/>
          <w:szCs w:val="22"/>
          <w:lang w:val="en-US"/>
        </w:rPr>
        <w:t xml:space="preserve"> percent respectively </w:t>
      </w:r>
      <w:r w:rsidRPr="005A6C7C">
        <w:rPr>
          <w:rFonts w:ascii="Arial" w:hAnsi="Arial" w:cs="Arial"/>
          <w:sz w:val="22"/>
          <w:szCs w:val="22"/>
          <w:lang w:val="en-US"/>
        </w:rPr>
        <w:t xml:space="preserve">compared to </w:t>
      </w:r>
      <w:r w:rsidR="005A6C7C" w:rsidRPr="005A6C7C">
        <w:rPr>
          <w:rFonts w:ascii="Arial" w:hAnsi="Arial" w:cs="Arial"/>
          <w:sz w:val="22"/>
          <w:szCs w:val="22"/>
          <w:lang w:val="en-US"/>
        </w:rPr>
        <w:t>June</w:t>
      </w:r>
      <w:r w:rsidR="008B5A33" w:rsidRPr="005A6C7C">
        <w:rPr>
          <w:rFonts w:ascii="Arial" w:hAnsi="Arial" w:cs="Arial"/>
          <w:sz w:val="22"/>
          <w:szCs w:val="22"/>
          <w:lang w:val="en-US"/>
        </w:rPr>
        <w:t xml:space="preserve"> 201</w:t>
      </w:r>
      <w:r w:rsidR="00FF0BF6" w:rsidRPr="005A6C7C">
        <w:rPr>
          <w:rFonts w:ascii="Arial" w:hAnsi="Arial" w:cs="Arial"/>
          <w:sz w:val="22"/>
          <w:szCs w:val="22"/>
          <w:lang w:val="en-US"/>
        </w:rPr>
        <w:t>3</w:t>
      </w:r>
      <w:r w:rsidRPr="005A6C7C">
        <w:rPr>
          <w:rFonts w:ascii="Arial" w:hAnsi="Arial" w:cs="Arial"/>
          <w:sz w:val="22"/>
          <w:szCs w:val="22"/>
          <w:lang w:val="en-US"/>
        </w:rPr>
        <w:t xml:space="preserve">. Also the share of first ten banks in </w:t>
      </w:r>
      <w:r w:rsidR="008B5A33" w:rsidRPr="005A6C7C">
        <w:rPr>
          <w:rFonts w:ascii="Arial" w:hAnsi="Arial" w:cs="Arial"/>
          <w:sz w:val="22"/>
          <w:szCs w:val="22"/>
          <w:lang w:val="en-US"/>
        </w:rPr>
        <w:t xml:space="preserve">total assets, </w:t>
      </w:r>
      <w:r w:rsidR="00E95E14" w:rsidRPr="005A6C7C">
        <w:rPr>
          <w:rFonts w:ascii="Arial" w:hAnsi="Arial" w:cs="Arial"/>
          <w:sz w:val="22"/>
          <w:szCs w:val="22"/>
          <w:lang w:val="en-US"/>
        </w:rPr>
        <w:t>deposits</w:t>
      </w:r>
      <w:r w:rsidR="008B5A33" w:rsidRPr="005A6C7C">
        <w:rPr>
          <w:rFonts w:ascii="Arial" w:hAnsi="Arial" w:cs="Arial"/>
          <w:sz w:val="22"/>
          <w:szCs w:val="22"/>
          <w:lang w:val="en-US"/>
        </w:rPr>
        <w:t xml:space="preserve"> and loans</w:t>
      </w:r>
      <w:r w:rsidR="00E95E14" w:rsidRPr="005A6C7C">
        <w:rPr>
          <w:rFonts w:ascii="Arial" w:hAnsi="Arial" w:cs="Arial"/>
          <w:sz w:val="22"/>
          <w:szCs w:val="22"/>
          <w:lang w:val="en-US"/>
        </w:rPr>
        <w:t xml:space="preserve"> </w:t>
      </w:r>
      <w:r w:rsidR="008B5A33" w:rsidRPr="005A6C7C">
        <w:rPr>
          <w:rFonts w:ascii="Arial" w:hAnsi="Arial" w:cs="Arial"/>
          <w:sz w:val="22"/>
          <w:szCs w:val="22"/>
          <w:lang w:val="en-US"/>
        </w:rPr>
        <w:t>were</w:t>
      </w:r>
      <w:r w:rsidR="00E95E14" w:rsidRPr="005A6C7C">
        <w:rPr>
          <w:rFonts w:ascii="Arial" w:hAnsi="Arial" w:cs="Arial"/>
          <w:sz w:val="22"/>
          <w:szCs w:val="22"/>
          <w:lang w:val="en-US"/>
        </w:rPr>
        <w:t xml:space="preserve"> at the rate of 8</w:t>
      </w:r>
      <w:r w:rsidR="005A6C7C" w:rsidRPr="005A6C7C">
        <w:rPr>
          <w:rFonts w:ascii="Arial" w:hAnsi="Arial" w:cs="Arial"/>
          <w:sz w:val="22"/>
          <w:szCs w:val="22"/>
          <w:lang w:val="en-US"/>
        </w:rPr>
        <w:t>5</w:t>
      </w:r>
      <w:r w:rsidR="008B5A33" w:rsidRPr="005A6C7C">
        <w:rPr>
          <w:rFonts w:ascii="Arial" w:hAnsi="Arial" w:cs="Arial"/>
          <w:sz w:val="22"/>
          <w:szCs w:val="22"/>
          <w:lang w:val="en-US"/>
        </w:rPr>
        <w:t xml:space="preserve">, </w:t>
      </w:r>
      <w:r w:rsidR="00E95E14" w:rsidRPr="005A6C7C">
        <w:rPr>
          <w:rFonts w:ascii="Arial" w:hAnsi="Arial" w:cs="Arial"/>
          <w:sz w:val="22"/>
          <w:szCs w:val="22"/>
          <w:lang w:val="en-US"/>
        </w:rPr>
        <w:t>9</w:t>
      </w:r>
      <w:r w:rsidR="00FF0BF6" w:rsidRPr="005A6C7C">
        <w:rPr>
          <w:rFonts w:ascii="Arial" w:hAnsi="Arial" w:cs="Arial"/>
          <w:sz w:val="22"/>
          <w:szCs w:val="22"/>
          <w:lang w:val="en-US"/>
        </w:rPr>
        <w:t>0</w:t>
      </w:r>
      <w:r w:rsidR="00E95E14" w:rsidRPr="005A6C7C">
        <w:rPr>
          <w:rFonts w:ascii="Arial" w:hAnsi="Arial" w:cs="Arial"/>
          <w:sz w:val="22"/>
          <w:szCs w:val="22"/>
          <w:lang w:val="en-US"/>
        </w:rPr>
        <w:t xml:space="preserve"> </w:t>
      </w:r>
      <w:r w:rsidR="008B5A33" w:rsidRPr="005A6C7C">
        <w:rPr>
          <w:rFonts w:ascii="Arial" w:hAnsi="Arial" w:cs="Arial"/>
          <w:sz w:val="22"/>
          <w:szCs w:val="22"/>
          <w:lang w:val="en-US"/>
        </w:rPr>
        <w:t>and 8</w:t>
      </w:r>
      <w:r w:rsidR="00FF0BF6" w:rsidRPr="005A6C7C">
        <w:rPr>
          <w:rFonts w:ascii="Arial" w:hAnsi="Arial" w:cs="Arial"/>
          <w:sz w:val="22"/>
          <w:szCs w:val="22"/>
          <w:lang w:val="en-US"/>
        </w:rPr>
        <w:t>4</w:t>
      </w:r>
      <w:r w:rsidR="008B5A33" w:rsidRPr="005A6C7C">
        <w:rPr>
          <w:rFonts w:ascii="Arial" w:hAnsi="Arial" w:cs="Arial"/>
          <w:sz w:val="22"/>
          <w:szCs w:val="22"/>
          <w:lang w:val="en-US"/>
        </w:rPr>
        <w:t xml:space="preserve"> percent respectively.</w:t>
      </w:r>
    </w:p>
    <w:p w:rsidR="00B9537E" w:rsidRPr="004F1241" w:rsidRDefault="00B9537E" w:rsidP="00A236FF">
      <w:pPr>
        <w:autoSpaceDE w:val="0"/>
        <w:autoSpaceDN w:val="0"/>
        <w:adjustRightInd w:val="0"/>
        <w:jc w:val="both"/>
        <w:rPr>
          <w:rFonts w:ascii="Arial" w:hAnsi="Arial" w:cs="Arial"/>
          <w:sz w:val="22"/>
          <w:szCs w:val="22"/>
          <w:lang w:val="en-US" w:eastAsia="tr-TR"/>
        </w:rPr>
      </w:pPr>
    </w:p>
    <w:p w:rsidR="008B5A33" w:rsidRPr="004F1241" w:rsidRDefault="008B5A33" w:rsidP="008B5A33">
      <w:pPr>
        <w:jc w:val="both"/>
        <w:rPr>
          <w:rFonts w:ascii="Arial" w:hAnsi="Arial" w:cs="Arial"/>
          <w:color w:val="FF0000"/>
          <w:sz w:val="22"/>
          <w:szCs w:val="22"/>
          <w:lang w:val="en-US"/>
        </w:rPr>
      </w:pPr>
    </w:p>
    <w:p w:rsidR="006E6B65" w:rsidRPr="004F1241" w:rsidRDefault="006E6B65" w:rsidP="00A236FF">
      <w:pPr>
        <w:autoSpaceDE w:val="0"/>
        <w:autoSpaceDN w:val="0"/>
        <w:adjustRightInd w:val="0"/>
        <w:jc w:val="both"/>
        <w:rPr>
          <w:rFonts w:ascii="Arial" w:hAnsi="Arial" w:cs="Arial"/>
          <w:color w:val="FF0000"/>
          <w:sz w:val="22"/>
          <w:szCs w:val="22"/>
          <w:lang w:val="en-US" w:eastAsia="tr-TR"/>
        </w:rPr>
      </w:pPr>
    </w:p>
    <w:sectPr w:rsidR="006E6B65" w:rsidRPr="004F1241" w:rsidSect="009B1730">
      <w:headerReference w:type="default" r:id="rId13"/>
      <w:footerReference w:type="even" r:id="rId14"/>
      <w:footerReference w:type="default" r:id="rId15"/>
      <w:headerReference w:type="first" r:id="rId16"/>
      <w:pgSz w:w="11909" w:h="16834" w:code="9"/>
      <w:pgMar w:top="2381" w:right="2268" w:bottom="1440" w:left="1814" w:header="1151" w:footer="431"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79C" w:rsidRDefault="00FA579C">
      <w:r>
        <w:separator/>
      </w:r>
    </w:p>
  </w:endnote>
  <w:endnote w:type="continuationSeparator" w:id="0">
    <w:p w:rsidR="00FA579C" w:rsidRDefault="00FA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0E3" w:rsidRDefault="00BE40E3" w:rsidP="009B17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40E3" w:rsidRDefault="00BE40E3" w:rsidP="009B17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0E3" w:rsidRPr="00150A4B" w:rsidRDefault="00BE40E3" w:rsidP="009B1730">
    <w:pPr>
      <w:pStyle w:val="Footer"/>
      <w:framePr w:wrap="around" w:vAnchor="text" w:hAnchor="margin" w:xAlign="right" w:y="1"/>
      <w:rPr>
        <w:rStyle w:val="PageNumber"/>
        <w:rFonts w:ascii="Arial" w:hAnsi="Arial" w:cs="Arial"/>
        <w:sz w:val="18"/>
        <w:szCs w:val="18"/>
      </w:rPr>
    </w:pPr>
    <w:r w:rsidRPr="00150A4B">
      <w:rPr>
        <w:rStyle w:val="PageNumber"/>
        <w:rFonts w:ascii="Arial" w:hAnsi="Arial" w:cs="Arial"/>
        <w:sz w:val="18"/>
        <w:szCs w:val="18"/>
      </w:rPr>
      <w:fldChar w:fldCharType="begin"/>
    </w:r>
    <w:r w:rsidRPr="00150A4B">
      <w:rPr>
        <w:rStyle w:val="PageNumber"/>
        <w:rFonts w:ascii="Arial" w:hAnsi="Arial" w:cs="Arial"/>
        <w:sz w:val="18"/>
        <w:szCs w:val="18"/>
      </w:rPr>
      <w:instrText xml:space="preserve">PAGE  </w:instrText>
    </w:r>
    <w:r w:rsidRPr="00150A4B">
      <w:rPr>
        <w:rStyle w:val="PageNumber"/>
        <w:rFonts w:ascii="Arial" w:hAnsi="Arial" w:cs="Arial"/>
        <w:sz w:val="18"/>
        <w:szCs w:val="18"/>
      </w:rPr>
      <w:fldChar w:fldCharType="separate"/>
    </w:r>
    <w:r w:rsidR="00E8545A">
      <w:rPr>
        <w:rStyle w:val="PageNumber"/>
        <w:rFonts w:ascii="Arial" w:hAnsi="Arial" w:cs="Arial"/>
        <w:noProof/>
        <w:sz w:val="18"/>
        <w:szCs w:val="18"/>
      </w:rPr>
      <w:t>1</w:t>
    </w:r>
    <w:r w:rsidRPr="00150A4B">
      <w:rPr>
        <w:rStyle w:val="PageNumber"/>
        <w:rFonts w:ascii="Arial" w:hAnsi="Arial" w:cs="Arial"/>
        <w:sz w:val="18"/>
        <w:szCs w:val="18"/>
      </w:rPr>
      <w:fldChar w:fldCharType="end"/>
    </w:r>
  </w:p>
  <w:p w:rsidR="00BE40E3" w:rsidRPr="000E30AC" w:rsidRDefault="00BE40E3" w:rsidP="009B1730">
    <w:pPr>
      <w:pStyle w:val="Footer"/>
      <w:rPr>
        <w:rFonts w:ascii="Arial" w:hAnsi="Arial" w:cs="Arial"/>
        <w:sz w:val="18"/>
        <w:szCs w:val="18"/>
        <w:lang w:val="en-US"/>
      </w:rPr>
    </w:pPr>
    <w:r w:rsidRPr="00946A44">
      <w:rPr>
        <w:rFonts w:ascii="Arial" w:hAnsi="Arial" w:cs="Arial"/>
        <w:sz w:val="18"/>
        <w:szCs w:val="18"/>
        <w:lang w:val="en-US"/>
      </w:rPr>
      <w:t>The Banks Association of Turkey</w:t>
    </w:r>
    <w:r w:rsidR="000E30AC">
      <w:rPr>
        <w:rFonts w:ascii="Arial" w:hAnsi="Arial" w:cs="Arial"/>
        <w:sz w:val="18"/>
        <w:szCs w:val="18"/>
        <w:lang w:val="en-US"/>
      </w:rPr>
      <w:t>/Statistical Reports/</w:t>
    </w:r>
    <w:r w:rsidR="006A1A10">
      <w:rPr>
        <w:rFonts w:ascii="Arial" w:hAnsi="Arial" w:cs="Arial"/>
        <w:sz w:val="18"/>
        <w:szCs w:val="18"/>
        <w:lang w:val="en-US"/>
      </w:rPr>
      <w:t>June</w:t>
    </w:r>
    <w:r>
      <w:rPr>
        <w:rFonts w:ascii="Arial" w:hAnsi="Arial" w:cs="Arial"/>
        <w:sz w:val="18"/>
        <w:szCs w:val="18"/>
        <w:lang w:val="en-US"/>
      </w:rPr>
      <w:t>201</w:t>
    </w:r>
    <w:r w:rsidR="00CC0527">
      <w:rPr>
        <w:rFonts w:ascii="Arial" w:hAnsi="Arial" w:cs="Arial"/>
        <w:sz w:val="18"/>
        <w:szCs w:val="18"/>
        <w:lang w:val="en-US"/>
      </w:rPr>
      <w:t>4</w:t>
    </w:r>
    <w:r w:rsidRPr="00946A44">
      <w:rPr>
        <w:rFonts w:ascii="Arial" w:hAnsi="Arial" w:cs="Arial"/>
        <w:sz w:val="18"/>
        <w:szCs w:val="18"/>
        <w:lang w:val="en-US"/>
      </w:rPr>
      <w:t xml:space="preserve">        </w:t>
    </w:r>
  </w:p>
  <w:p w:rsidR="00BE40E3" w:rsidRPr="00150A4B" w:rsidRDefault="00BE40E3" w:rsidP="009B173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79C" w:rsidRDefault="00FA579C">
      <w:r>
        <w:separator/>
      </w:r>
    </w:p>
  </w:footnote>
  <w:footnote w:type="continuationSeparator" w:id="0">
    <w:p w:rsidR="00FA579C" w:rsidRDefault="00FA579C">
      <w:r>
        <w:continuationSeparator/>
      </w:r>
    </w:p>
  </w:footnote>
  <w:footnote w:id="1">
    <w:p w:rsidR="00BE40E3" w:rsidRPr="00946A44" w:rsidRDefault="00BE40E3" w:rsidP="009B1730">
      <w:pPr>
        <w:pStyle w:val="FootnoteText"/>
        <w:jc w:val="both"/>
        <w:rPr>
          <w:rFonts w:ascii="Arial" w:hAnsi="Arial" w:cs="Arial"/>
          <w:sz w:val="18"/>
          <w:szCs w:val="18"/>
          <w:lang w:val="en-US"/>
        </w:rPr>
      </w:pPr>
      <w:r w:rsidRPr="00946A44">
        <w:rPr>
          <w:rStyle w:val="FootnoteReference"/>
          <w:rFonts w:ascii="Arial" w:hAnsi="Arial" w:cs="Arial"/>
          <w:sz w:val="18"/>
          <w:szCs w:val="18"/>
        </w:rPr>
        <w:footnoteRef/>
      </w:r>
      <w:r w:rsidRPr="00946A44">
        <w:rPr>
          <w:rFonts w:ascii="Arial" w:hAnsi="Arial" w:cs="Arial"/>
          <w:sz w:val="18"/>
          <w:szCs w:val="18"/>
        </w:rPr>
        <w:t xml:space="preserve"> </w:t>
      </w:r>
      <w:r w:rsidRPr="00946A44">
        <w:rPr>
          <w:rFonts w:ascii="Arial" w:hAnsi="Arial" w:cs="Arial"/>
          <w:sz w:val="18"/>
          <w:szCs w:val="18"/>
          <w:lang w:val="en-US"/>
        </w:rPr>
        <w:t>Deposit banks and development and investment banks are included.</w:t>
      </w:r>
    </w:p>
    <w:p w:rsidR="00BE40E3" w:rsidRPr="0043078B" w:rsidRDefault="00BE40E3" w:rsidP="009B1730">
      <w:pPr>
        <w:pStyle w:val="FootnoteText"/>
        <w:jc w:val="both"/>
        <w:rPr>
          <w:rFonts w:ascii="Arial" w:hAnsi="Arial" w:cs="Arial"/>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0E3" w:rsidRDefault="00E8545A">
    <w:pPr>
      <w:pStyle w:val="Header"/>
    </w:pPr>
    <w:r>
      <w:rPr>
        <w:noProof/>
        <w:lang w:eastAsia="tr-TR"/>
      </w:rPr>
      <w:drawing>
        <wp:anchor distT="0" distB="0" distL="114300" distR="114300" simplePos="0" relativeHeight="251658752" behindDoc="0" locked="0" layoutInCell="1" allowOverlap="1">
          <wp:simplePos x="0" y="0"/>
          <wp:positionH relativeFrom="page">
            <wp:posOffset>6364605</wp:posOffset>
          </wp:positionH>
          <wp:positionV relativeFrom="page">
            <wp:posOffset>302260</wp:posOffset>
          </wp:positionV>
          <wp:extent cx="926465" cy="929005"/>
          <wp:effectExtent l="0" t="0" r="6985" b="4445"/>
          <wp:wrapNone/>
          <wp:docPr id="3" name="Picture 3" descr="logo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n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9290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7728" behindDoc="0" locked="0" layoutInCell="1" allowOverlap="1">
          <wp:simplePos x="0" y="0"/>
          <wp:positionH relativeFrom="page">
            <wp:posOffset>6364605</wp:posOffset>
          </wp:positionH>
          <wp:positionV relativeFrom="page">
            <wp:posOffset>302260</wp:posOffset>
          </wp:positionV>
          <wp:extent cx="913130" cy="929005"/>
          <wp:effectExtent l="0" t="0" r="1270" b="4445"/>
          <wp:wrapSquare wrapText="bothSides"/>
          <wp:docPr id="2" name="Picture 2" descr="logot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r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3130" cy="9290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0E3" w:rsidRDefault="00E8545A">
    <w:pPr>
      <w:pStyle w:val="Header"/>
    </w:pPr>
    <w:r>
      <w:rPr>
        <w:noProof/>
        <w:lang w:eastAsia="tr-TR"/>
      </w:rPr>
      <w:drawing>
        <wp:anchor distT="0" distB="0" distL="114300" distR="114300" simplePos="0" relativeHeight="251656704" behindDoc="0" locked="0" layoutInCell="1" allowOverlap="1">
          <wp:simplePos x="0" y="0"/>
          <wp:positionH relativeFrom="page">
            <wp:posOffset>6299835</wp:posOffset>
          </wp:positionH>
          <wp:positionV relativeFrom="page">
            <wp:posOffset>269875</wp:posOffset>
          </wp:positionV>
          <wp:extent cx="966470" cy="1760220"/>
          <wp:effectExtent l="0" t="0" r="5080" b="0"/>
          <wp:wrapSquare wrapText="bothSides"/>
          <wp:docPr id="1" name="Picture 1" descr="logo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5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1760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47560"/>
    <w:multiLevelType w:val="singleLevel"/>
    <w:tmpl w:val="04AC9B60"/>
    <w:lvl w:ilvl="0">
      <w:start w:val="1"/>
      <w:numFmt w:val="decimal"/>
      <w:lvlText w:val="%1."/>
      <w:lvlJc w:val="left"/>
      <w:pPr>
        <w:tabs>
          <w:tab w:val="num" w:pos="360"/>
        </w:tabs>
        <w:ind w:left="360" w:hanging="360"/>
      </w:pPr>
      <w:rPr>
        <w:rFonts w:hint="default"/>
      </w:rPr>
    </w:lvl>
  </w:abstractNum>
  <w:abstractNum w:abstractNumId="1">
    <w:nsid w:val="0D930167"/>
    <w:multiLevelType w:val="hybridMultilevel"/>
    <w:tmpl w:val="062E7C2C"/>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09F4800"/>
    <w:multiLevelType w:val="hybridMultilevel"/>
    <w:tmpl w:val="A4EEF14E"/>
    <w:lvl w:ilvl="0" w:tplc="041F0017">
      <w:start w:val="2"/>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40BC1C00"/>
    <w:multiLevelType w:val="multilevel"/>
    <w:tmpl w:val="D756A7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7541286"/>
    <w:multiLevelType w:val="hybridMultilevel"/>
    <w:tmpl w:val="5B9E18A0"/>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163"/>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FDF"/>
    <w:rsid w:val="00006D5E"/>
    <w:rsid w:val="00015B52"/>
    <w:rsid w:val="00021DC8"/>
    <w:rsid w:val="00025239"/>
    <w:rsid w:val="00045BAA"/>
    <w:rsid w:val="00051776"/>
    <w:rsid w:val="000653D8"/>
    <w:rsid w:val="00071424"/>
    <w:rsid w:val="000821A5"/>
    <w:rsid w:val="00093647"/>
    <w:rsid w:val="000A5A4E"/>
    <w:rsid w:val="000B4081"/>
    <w:rsid w:val="000B72D9"/>
    <w:rsid w:val="000C1432"/>
    <w:rsid w:val="000D06EE"/>
    <w:rsid w:val="000E29F1"/>
    <w:rsid w:val="000E30AC"/>
    <w:rsid w:val="000E518A"/>
    <w:rsid w:val="000E5CD3"/>
    <w:rsid w:val="0010115C"/>
    <w:rsid w:val="0011047A"/>
    <w:rsid w:val="00123FEC"/>
    <w:rsid w:val="00133879"/>
    <w:rsid w:val="00135DC0"/>
    <w:rsid w:val="001441EE"/>
    <w:rsid w:val="001550BC"/>
    <w:rsid w:val="0015763F"/>
    <w:rsid w:val="00163F64"/>
    <w:rsid w:val="0018420A"/>
    <w:rsid w:val="00185F20"/>
    <w:rsid w:val="001B440B"/>
    <w:rsid w:val="001B7914"/>
    <w:rsid w:val="001D4636"/>
    <w:rsid w:val="001E1E05"/>
    <w:rsid w:val="001E7AFB"/>
    <w:rsid w:val="001F5605"/>
    <w:rsid w:val="001F71D3"/>
    <w:rsid w:val="00207B31"/>
    <w:rsid w:val="00237338"/>
    <w:rsid w:val="00252475"/>
    <w:rsid w:val="00252F06"/>
    <w:rsid w:val="002A581F"/>
    <w:rsid w:val="002D7807"/>
    <w:rsid w:val="002E640C"/>
    <w:rsid w:val="002E68C8"/>
    <w:rsid w:val="002F25B9"/>
    <w:rsid w:val="00320B3D"/>
    <w:rsid w:val="00341CFE"/>
    <w:rsid w:val="003436A0"/>
    <w:rsid w:val="00362900"/>
    <w:rsid w:val="00373CB1"/>
    <w:rsid w:val="00380913"/>
    <w:rsid w:val="003B3ED1"/>
    <w:rsid w:val="003B4BA9"/>
    <w:rsid w:val="003D4D00"/>
    <w:rsid w:val="003D731E"/>
    <w:rsid w:val="003E42B5"/>
    <w:rsid w:val="0041521F"/>
    <w:rsid w:val="00415614"/>
    <w:rsid w:val="004201E6"/>
    <w:rsid w:val="00427195"/>
    <w:rsid w:val="00454304"/>
    <w:rsid w:val="004566AF"/>
    <w:rsid w:val="00473D8A"/>
    <w:rsid w:val="00480361"/>
    <w:rsid w:val="00491362"/>
    <w:rsid w:val="004A6C45"/>
    <w:rsid w:val="004B1FBC"/>
    <w:rsid w:val="004C58DA"/>
    <w:rsid w:val="004F1241"/>
    <w:rsid w:val="004F7631"/>
    <w:rsid w:val="0052092E"/>
    <w:rsid w:val="00520980"/>
    <w:rsid w:val="00521FAF"/>
    <w:rsid w:val="00543AF9"/>
    <w:rsid w:val="00563E4C"/>
    <w:rsid w:val="00576C40"/>
    <w:rsid w:val="00582DE9"/>
    <w:rsid w:val="00591573"/>
    <w:rsid w:val="005949D6"/>
    <w:rsid w:val="005A6C7C"/>
    <w:rsid w:val="005B6318"/>
    <w:rsid w:val="005C7F34"/>
    <w:rsid w:val="005D2A56"/>
    <w:rsid w:val="005E62FB"/>
    <w:rsid w:val="005E68B3"/>
    <w:rsid w:val="00601F6C"/>
    <w:rsid w:val="00603E13"/>
    <w:rsid w:val="00603E28"/>
    <w:rsid w:val="00604B30"/>
    <w:rsid w:val="00606BE3"/>
    <w:rsid w:val="00611575"/>
    <w:rsid w:val="006434D7"/>
    <w:rsid w:val="00650511"/>
    <w:rsid w:val="00652980"/>
    <w:rsid w:val="006651CF"/>
    <w:rsid w:val="006678BB"/>
    <w:rsid w:val="00694927"/>
    <w:rsid w:val="0069541B"/>
    <w:rsid w:val="006A1A10"/>
    <w:rsid w:val="006A2788"/>
    <w:rsid w:val="006A57FE"/>
    <w:rsid w:val="006C493E"/>
    <w:rsid w:val="006D4DED"/>
    <w:rsid w:val="006E6B65"/>
    <w:rsid w:val="006F4033"/>
    <w:rsid w:val="006F50AF"/>
    <w:rsid w:val="00707B0E"/>
    <w:rsid w:val="00714F69"/>
    <w:rsid w:val="00734A42"/>
    <w:rsid w:val="00734C9E"/>
    <w:rsid w:val="0075135D"/>
    <w:rsid w:val="007551FF"/>
    <w:rsid w:val="00767B0F"/>
    <w:rsid w:val="00783775"/>
    <w:rsid w:val="007856C4"/>
    <w:rsid w:val="007A0209"/>
    <w:rsid w:val="007D69BA"/>
    <w:rsid w:val="007F5B52"/>
    <w:rsid w:val="00803299"/>
    <w:rsid w:val="00820166"/>
    <w:rsid w:val="00823416"/>
    <w:rsid w:val="00824093"/>
    <w:rsid w:val="0084403C"/>
    <w:rsid w:val="00844FA5"/>
    <w:rsid w:val="00851E4A"/>
    <w:rsid w:val="00852E79"/>
    <w:rsid w:val="008535AA"/>
    <w:rsid w:val="00891CB9"/>
    <w:rsid w:val="008952F1"/>
    <w:rsid w:val="008B5A33"/>
    <w:rsid w:val="008B7A53"/>
    <w:rsid w:val="008C2A2D"/>
    <w:rsid w:val="008C372E"/>
    <w:rsid w:val="008E5CBD"/>
    <w:rsid w:val="008F1984"/>
    <w:rsid w:val="008F460E"/>
    <w:rsid w:val="00903E7A"/>
    <w:rsid w:val="00914FA3"/>
    <w:rsid w:val="009540AF"/>
    <w:rsid w:val="00972714"/>
    <w:rsid w:val="0098418D"/>
    <w:rsid w:val="00993F13"/>
    <w:rsid w:val="00994326"/>
    <w:rsid w:val="0099487B"/>
    <w:rsid w:val="009B1730"/>
    <w:rsid w:val="009B2865"/>
    <w:rsid w:val="009F2CCD"/>
    <w:rsid w:val="009F718A"/>
    <w:rsid w:val="00A05D52"/>
    <w:rsid w:val="00A17C32"/>
    <w:rsid w:val="00A21A2C"/>
    <w:rsid w:val="00A236FF"/>
    <w:rsid w:val="00A26BDA"/>
    <w:rsid w:val="00A36F7B"/>
    <w:rsid w:val="00A604EC"/>
    <w:rsid w:val="00A72DF6"/>
    <w:rsid w:val="00A76FFF"/>
    <w:rsid w:val="00A80D46"/>
    <w:rsid w:val="00A86BF8"/>
    <w:rsid w:val="00A9753F"/>
    <w:rsid w:val="00AA170B"/>
    <w:rsid w:val="00AA1F90"/>
    <w:rsid w:val="00AA3D67"/>
    <w:rsid w:val="00AB39D5"/>
    <w:rsid w:val="00AB6693"/>
    <w:rsid w:val="00AD0734"/>
    <w:rsid w:val="00AF09CB"/>
    <w:rsid w:val="00AF74BF"/>
    <w:rsid w:val="00B14153"/>
    <w:rsid w:val="00B23619"/>
    <w:rsid w:val="00B25032"/>
    <w:rsid w:val="00B4563D"/>
    <w:rsid w:val="00B70DA7"/>
    <w:rsid w:val="00B771B9"/>
    <w:rsid w:val="00B825C4"/>
    <w:rsid w:val="00B84560"/>
    <w:rsid w:val="00B8683E"/>
    <w:rsid w:val="00B9537E"/>
    <w:rsid w:val="00B96966"/>
    <w:rsid w:val="00BC0129"/>
    <w:rsid w:val="00BC4F29"/>
    <w:rsid w:val="00BE40E3"/>
    <w:rsid w:val="00C1011C"/>
    <w:rsid w:val="00C254EF"/>
    <w:rsid w:val="00C84BEE"/>
    <w:rsid w:val="00C86906"/>
    <w:rsid w:val="00C9075F"/>
    <w:rsid w:val="00C94250"/>
    <w:rsid w:val="00C94C21"/>
    <w:rsid w:val="00CB32C9"/>
    <w:rsid w:val="00CB33DD"/>
    <w:rsid w:val="00CC0527"/>
    <w:rsid w:val="00CC7248"/>
    <w:rsid w:val="00CE262D"/>
    <w:rsid w:val="00CE293C"/>
    <w:rsid w:val="00D03742"/>
    <w:rsid w:val="00D171FF"/>
    <w:rsid w:val="00D244CA"/>
    <w:rsid w:val="00D61494"/>
    <w:rsid w:val="00D65C1C"/>
    <w:rsid w:val="00DB229E"/>
    <w:rsid w:val="00DD722B"/>
    <w:rsid w:val="00DE0AA6"/>
    <w:rsid w:val="00DE7C06"/>
    <w:rsid w:val="00E032C0"/>
    <w:rsid w:val="00E07F9C"/>
    <w:rsid w:val="00E12A61"/>
    <w:rsid w:val="00E152D4"/>
    <w:rsid w:val="00E27378"/>
    <w:rsid w:val="00E3486E"/>
    <w:rsid w:val="00E50961"/>
    <w:rsid w:val="00E63080"/>
    <w:rsid w:val="00E80999"/>
    <w:rsid w:val="00E82CB4"/>
    <w:rsid w:val="00E8545A"/>
    <w:rsid w:val="00E94AB4"/>
    <w:rsid w:val="00E95E14"/>
    <w:rsid w:val="00E967C5"/>
    <w:rsid w:val="00EA4540"/>
    <w:rsid w:val="00EB1D49"/>
    <w:rsid w:val="00EF1F7A"/>
    <w:rsid w:val="00F057A8"/>
    <w:rsid w:val="00F14CB1"/>
    <w:rsid w:val="00F31072"/>
    <w:rsid w:val="00F32B63"/>
    <w:rsid w:val="00F51DEA"/>
    <w:rsid w:val="00F62656"/>
    <w:rsid w:val="00F67DA5"/>
    <w:rsid w:val="00F7089C"/>
    <w:rsid w:val="00F8453C"/>
    <w:rsid w:val="00F94BCB"/>
    <w:rsid w:val="00F95457"/>
    <w:rsid w:val="00F96333"/>
    <w:rsid w:val="00FA53F8"/>
    <w:rsid w:val="00FA579C"/>
    <w:rsid w:val="00FA7EE1"/>
    <w:rsid w:val="00FF0BF6"/>
    <w:rsid w:val="00FF7D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FDF"/>
    <w:rPr>
      <w:sz w:val="24"/>
      <w:szCs w:val="24"/>
      <w:lang w:eastAsia="en-US"/>
    </w:rPr>
  </w:style>
  <w:style w:type="paragraph" w:styleId="Heading1">
    <w:name w:val="heading 1"/>
    <w:basedOn w:val="Normal"/>
    <w:next w:val="Normal"/>
    <w:qFormat/>
    <w:rsid w:val="00CC3FDF"/>
    <w:pPr>
      <w:keepNext/>
      <w:jc w:val="center"/>
      <w:outlineLvl w:val="0"/>
    </w:pPr>
    <w:rPr>
      <w:b/>
      <w:color w:val="000000"/>
      <w:sz w:val="36"/>
      <w:szCs w:val="20"/>
    </w:rPr>
  </w:style>
  <w:style w:type="paragraph" w:styleId="Heading2">
    <w:name w:val="heading 2"/>
    <w:basedOn w:val="Normal"/>
    <w:next w:val="Normal"/>
    <w:qFormat/>
    <w:rsid w:val="00CC3FDF"/>
    <w:pPr>
      <w:keepNext/>
      <w:outlineLvl w:val="1"/>
    </w:pPr>
    <w:rPr>
      <w:b/>
      <w:color w:val="0000FF"/>
    </w:rPr>
  </w:style>
  <w:style w:type="paragraph" w:styleId="Heading3">
    <w:name w:val="heading 3"/>
    <w:basedOn w:val="Normal"/>
    <w:next w:val="Normal"/>
    <w:qFormat/>
    <w:rsid w:val="00CC3FDF"/>
    <w:pPr>
      <w:keepNext/>
      <w:outlineLvl w:val="2"/>
    </w:pPr>
    <w:rPr>
      <w:b/>
      <w:szCs w:val="20"/>
    </w:rPr>
  </w:style>
  <w:style w:type="paragraph" w:styleId="Heading4">
    <w:name w:val="heading 4"/>
    <w:basedOn w:val="Normal"/>
    <w:next w:val="Normal"/>
    <w:qFormat/>
    <w:rsid w:val="00CC3FDF"/>
    <w:pPr>
      <w:keepNext/>
      <w:outlineLvl w:val="3"/>
    </w:pPr>
    <w:rPr>
      <w:szCs w:val="20"/>
    </w:rPr>
  </w:style>
  <w:style w:type="paragraph" w:styleId="Heading5">
    <w:name w:val="heading 5"/>
    <w:basedOn w:val="Normal"/>
    <w:next w:val="Normal"/>
    <w:qFormat/>
    <w:rsid w:val="00CC3FDF"/>
    <w:pPr>
      <w:keepNext/>
      <w:ind w:firstLine="708"/>
      <w:jc w:val="center"/>
      <w:outlineLvl w:val="4"/>
    </w:pPr>
    <w:rPr>
      <w:b/>
      <w:szCs w:val="20"/>
    </w:rPr>
  </w:style>
  <w:style w:type="paragraph" w:styleId="Heading6">
    <w:name w:val="heading 6"/>
    <w:basedOn w:val="Normal"/>
    <w:next w:val="Normal"/>
    <w:qFormat/>
    <w:rsid w:val="00CC3FDF"/>
    <w:pPr>
      <w:keepNext/>
      <w:jc w:val="both"/>
      <w:outlineLvl w:val="5"/>
    </w:pPr>
    <w:rPr>
      <w:b/>
      <w:color w:val="000000"/>
      <w:szCs w:val="20"/>
    </w:rPr>
  </w:style>
  <w:style w:type="paragraph" w:styleId="Heading7">
    <w:name w:val="heading 7"/>
    <w:basedOn w:val="Normal"/>
    <w:next w:val="Normal"/>
    <w:qFormat/>
    <w:rsid w:val="00CC3FDF"/>
    <w:pPr>
      <w:keepNext/>
      <w:jc w:val="both"/>
      <w:outlineLvl w:val="6"/>
    </w:pPr>
    <w:rPr>
      <w:b/>
      <w:color w:val="000000"/>
      <w:sz w:val="26"/>
      <w:szCs w:val="20"/>
    </w:rPr>
  </w:style>
  <w:style w:type="paragraph" w:styleId="Heading8">
    <w:name w:val="heading 8"/>
    <w:basedOn w:val="Normal"/>
    <w:next w:val="Normal"/>
    <w:qFormat/>
    <w:rsid w:val="00CC3FDF"/>
    <w:pPr>
      <w:keepNext/>
      <w:ind w:left="-284" w:right="-948"/>
      <w:jc w:val="center"/>
      <w:outlineLvl w:val="7"/>
    </w:pPr>
    <w:rPr>
      <w:b/>
      <w:color w:val="000000"/>
      <w:sz w:val="26"/>
      <w:szCs w:val="20"/>
    </w:rPr>
  </w:style>
  <w:style w:type="paragraph" w:styleId="Heading9">
    <w:name w:val="heading 9"/>
    <w:basedOn w:val="Normal"/>
    <w:next w:val="Normal"/>
    <w:qFormat/>
    <w:rsid w:val="00CC3FDF"/>
    <w:pPr>
      <w:keepNext/>
      <w:jc w:val="both"/>
      <w:outlineLvl w:val="8"/>
    </w:pPr>
    <w:rPr>
      <w:color w:val="00000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C3FDF"/>
    <w:pPr>
      <w:tabs>
        <w:tab w:val="center" w:pos="4536"/>
        <w:tab w:val="right" w:pos="9072"/>
      </w:tabs>
    </w:pPr>
  </w:style>
  <w:style w:type="paragraph" w:styleId="Footer">
    <w:name w:val="footer"/>
    <w:basedOn w:val="Normal"/>
    <w:rsid w:val="00CC3FDF"/>
    <w:pPr>
      <w:tabs>
        <w:tab w:val="center" w:pos="4536"/>
        <w:tab w:val="right" w:pos="9072"/>
      </w:tabs>
    </w:pPr>
  </w:style>
  <w:style w:type="paragraph" w:styleId="BodyText">
    <w:name w:val="Body Text"/>
    <w:basedOn w:val="Normal"/>
    <w:link w:val="BodyTextChar"/>
    <w:rsid w:val="00CC3FDF"/>
    <w:pPr>
      <w:tabs>
        <w:tab w:val="left" w:pos="10490"/>
      </w:tabs>
      <w:jc w:val="both"/>
    </w:pPr>
    <w:rPr>
      <w:szCs w:val="20"/>
    </w:rPr>
  </w:style>
  <w:style w:type="paragraph" w:styleId="BodyText3">
    <w:name w:val="Body Text 3"/>
    <w:basedOn w:val="Normal"/>
    <w:rsid w:val="00CC3FDF"/>
    <w:pPr>
      <w:jc w:val="both"/>
    </w:pPr>
    <w:rPr>
      <w:szCs w:val="20"/>
    </w:rPr>
  </w:style>
  <w:style w:type="paragraph" w:styleId="Caption">
    <w:name w:val="caption"/>
    <w:basedOn w:val="Normal"/>
    <w:next w:val="Normal"/>
    <w:qFormat/>
    <w:rsid w:val="00CC3FDF"/>
    <w:pPr>
      <w:jc w:val="both"/>
    </w:pPr>
    <w:rPr>
      <w:b/>
      <w:color w:val="000000"/>
      <w:sz w:val="26"/>
      <w:szCs w:val="20"/>
    </w:rPr>
  </w:style>
  <w:style w:type="paragraph" w:styleId="TOC1">
    <w:name w:val="toc 1"/>
    <w:basedOn w:val="Normal"/>
    <w:next w:val="Normal"/>
    <w:autoRedefine/>
    <w:semiHidden/>
    <w:rsid w:val="00C14D5B"/>
    <w:pPr>
      <w:jc w:val="center"/>
    </w:pPr>
    <w:rPr>
      <w:rFonts w:ascii="Arial" w:hAnsi="Arial" w:cs="Arial"/>
      <w:b/>
      <w:snapToGrid w:val="0"/>
      <w:color w:val="0000FF"/>
      <w:sz w:val="20"/>
      <w:szCs w:val="20"/>
    </w:rPr>
  </w:style>
  <w:style w:type="paragraph" w:styleId="BodyText2">
    <w:name w:val="Body Text 2"/>
    <w:basedOn w:val="Normal"/>
    <w:rsid w:val="00CC3FDF"/>
    <w:pPr>
      <w:jc w:val="both"/>
    </w:pPr>
    <w:rPr>
      <w:b/>
      <w:sz w:val="20"/>
      <w:szCs w:val="20"/>
    </w:rPr>
  </w:style>
  <w:style w:type="character" w:styleId="FootnoteReference">
    <w:name w:val="footnote reference"/>
    <w:semiHidden/>
    <w:rsid w:val="00CC3FDF"/>
    <w:rPr>
      <w:vertAlign w:val="superscript"/>
    </w:rPr>
  </w:style>
  <w:style w:type="paragraph" w:styleId="FootnoteText">
    <w:name w:val="footnote text"/>
    <w:basedOn w:val="Normal"/>
    <w:link w:val="FootnoteTextChar"/>
    <w:rsid w:val="00CC3FDF"/>
    <w:rPr>
      <w:sz w:val="20"/>
      <w:szCs w:val="20"/>
    </w:rPr>
  </w:style>
  <w:style w:type="character" w:styleId="PageNumber">
    <w:name w:val="page number"/>
    <w:basedOn w:val="DefaultParagraphFont"/>
    <w:rsid w:val="00CC3FDF"/>
  </w:style>
  <w:style w:type="paragraph" w:styleId="Title">
    <w:name w:val="Title"/>
    <w:basedOn w:val="Normal"/>
    <w:qFormat/>
    <w:rsid w:val="00CC3FDF"/>
    <w:pPr>
      <w:jc w:val="center"/>
    </w:pPr>
    <w:rPr>
      <w:b/>
      <w:lang w:val="en-US"/>
    </w:rPr>
  </w:style>
  <w:style w:type="paragraph" w:styleId="Subtitle">
    <w:name w:val="Subtitle"/>
    <w:basedOn w:val="Normal"/>
    <w:qFormat/>
    <w:rsid w:val="00CC3FDF"/>
    <w:pPr>
      <w:jc w:val="both"/>
    </w:pPr>
    <w:rPr>
      <w:b/>
      <w:sz w:val="26"/>
      <w:lang w:val="en-US"/>
    </w:rPr>
  </w:style>
  <w:style w:type="paragraph" w:styleId="BalloonText">
    <w:name w:val="Balloon Text"/>
    <w:basedOn w:val="Normal"/>
    <w:link w:val="BalloonTextChar"/>
    <w:rsid w:val="000B4081"/>
    <w:rPr>
      <w:rFonts w:ascii="Tahoma" w:hAnsi="Tahoma" w:cs="Tahoma"/>
      <w:sz w:val="16"/>
      <w:szCs w:val="16"/>
    </w:rPr>
  </w:style>
  <w:style w:type="character" w:customStyle="1" w:styleId="BalloonTextChar">
    <w:name w:val="Balloon Text Char"/>
    <w:link w:val="BalloonText"/>
    <w:rsid w:val="000B4081"/>
    <w:rPr>
      <w:rFonts w:ascii="Tahoma" w:hAnsi="Tahoma" w:cs="Tahoma"/>
      <w:sz w:val="16"/>
      <w:szCs w:val="16"/>
      <w:lang w:eastAsia="en-US"/>
    </w:rPr>
  </w:style>
  <w:style w:type="character" w:customStyle="1" w:styleId="FootnoteTextChar">
    <w:name w:val="Footnote Text Char"/>
    <w:link w:val="FootnoteText"/>
    <w:rsid w:val="00B84560"/>
    <w:rPr>
      <w:lang w:eastAsia="en-US"/>
    </w:rPr>
  </w:style>
  <w:style w:type="paragraph" w:customStyle="1" w:styleId="Default">
    <w:name w:val="Default"/>
    <w:rsid w:val="000A5A4E"/>
    <w:pPr>
      <w:autoSpaceDE w:val="0"/>
      <w:autoSpaceDN w:val="0"/>
      <w:adjustRightInd w:val="0"/>
    </w:pPr>
    <w:rPr>
      <w:rFonts w:ascii="Century Gothic" w:hAnsi="Century Gothic" w:cs="Century Gothic"/>
      <w:color w:val="000000"/>
      <w:sz w:val="24"/>
      <w:szCs w:val="24"/>
    </w:rPr>
  </w:style>
  <w:style w:type="character" w:customStyle="1" w:styleId="BodyTextChar">
    <w:name w:val="Body Text Char"/>
    <w:link w:val="BodyText"/>
    <w:rsid w:val="006651CF"/>
    <w:rPr>
      <w:sz w:val="24"/>
      <w:lang w:eastAsia="en-US"/>
    </w:rPr>
  </w:style>
  <w:style w:type="character" w:styleId="Hyperlink">
    <w:name w:val="Hyperlink"/>
    <w:uiPriority w:val="99"/>
    <w:unhideWhenUsed/>
    <w:rsid w:val="000D06EE"/>
    <w:rPr>
      <w:color w:val="0000FF"/>
      <w:u w:val="single"/>
    </w:rPr>
  </w:style>
  <w:style w:type="character" w:customStyle="1" w:styleId="hps">
    <w:name w:val="hps"/>
    <w:rsid w:val="00237338"/>
  </w:style>
  <w:style w:type="paragraph" w:styleId="NormalWeb">
    <w:name w:val="Normal (Web)"/>
    <w:basedOn w:val="Normal"/>
    <w:uiPriority w:val="99"/>
    <w:unhideWhenUsed/>
    <w:rsid w:val="00603E13"/>
    <w:pPr>
      <w:spacing w:before="100" w:beforeAutospacing="1" w:after="100" w:afterAutospacing="1"/>
    </w:pPr>
    <w:rPr>
      <w:lang w:eastAsia="tr-TR"/>
    </w:rPr>
  </w:style>
  <w:style w:type="character" w:customStyle="1" w:styleId="shorttext">
    <w:name w:val="short_text"/>
    <w:rsid w:val="00734A42"/>
  </w:style>
  <w:style w:type="character" w:styleId="Strong">
    <w:name w:val="Strong"/>
    <w:uiPriority w:val="22"/>
    <w:qFormat/>
    <w:rsid w:val="008E5C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FDF"/>
    <w:rPr>
      <w:sz w:val="24"/>
      <w:szCs w:val="24"/>
      <w:lang w:eastAsia="en-US"/>
    </w:rPr>
  </w:style>
  <w:style w:type="paragraph" w:styleId="Heading1">
    <w:name w:val="heading 1"/>
    <w:basedOn w:val="Normal"/>
    <w:next w:val="Normal"/>
    <w:qFormat/>
    <w:rsid w:val="00CC3FDF"/>
    <w:pPr>
      <w:keepNext/>
      <w:jc w:val="center"/>
      <w:outlineLvl w:val="0"/>
    </w:pPr>
    <w:rPr>
      <w:b/>
      <w:color w:val="000000"/>
      <w:sz w:val="36"/>
      <w:szCs w:val="20"/>
    </w:rPr>
  </w:style>
  <w:style w:type="paragraph" w:styleId="Heading2">
    <w:name w:val="heading 2"/>
    <w:basedOn w:val="Normal"/>
    <w:next w:val="Normal"/>
    <w:qFormat/>
    <w:rsid w:val="00CC3FDF"/>
    <w:pPr>
      <w:keepNext/>
      <w:outlineLvl w:val="1"/>
    </w:pPr>
    <w:rPr>
      <w:b/>
      <w:color w:val="0000FF"/>
    </w:rPr>
  </w:style>
  <w:style w:type="paragraph" w:styleId="Heading3">
    <w:name w:val="heading 3"/>
    <w:basedOn w:val="Normal"/>
    <w:next w:val="Normal"/>
    <w:qFormat/>
    <w:rsid w:val="00CC3FDF"/>
    <w:pPr>
      <w:keepNext/>
      <w:outlineLvl w:val="2"/>
    </w:pPr>
    <w:rPr>
      <w:b/>
      <w:szCs w:val="20"/>
    </w:rPr>
  </w:style>
  <w:style w:type="paragraph" w:styleId="Heading4">
    <w:name w:val="heading 4"/>
    <w:basedOn w:val="Normal"/>
    <w:next w:val="Normal"/>
    <w:qFormat/>
    <w:rsid w:val="00CC3FDF"/>
    <w:pPr>
      <w:keepNext/>
      <w:outlineLvl w:val="3"/>
    </w:pPr>
    <w:rPr>
      <w:szCs w:val="20"/>
    </w:rPr>
  </w:style>
  <w:style w:type="paragraph" w:styleId="Heading5">
    <w:name w:val="heading 5"/>
    <w:basedOn w:val="Normal"/>
    <w:next w:val="Normal"/>
    <w:qFormat/>
    <w:rsid w:val="00CC3FDF"/>
    <w:pPr>
      <w:keepNext/>
      <w:ind w:firstLine="708"/>
      <w:jc w:val="center"/>
      <w:outlineLvl w:val="4"/>
    </w:pPr>
    <w:rPr>
      <w:b/>
      <w:szCs w:val="20"/>
    </w:rPr>
  </w:style>
  <w:style w:type="paragraph" w:styleId="Heading6">
    <w:name w:val="heading 6"/>
    <w:basedOn w:val="Normal"/>
    <w:next w:val="Normal"/>
    <w:qFormat/>
    <w:rsid w:val="00CC3FDF"/>
    <w:pPr>
      <w:keepNext/>
      <w:jc w:val="both"/>
      <w:outlineLvl w:val="5"/>
    </w:pPr>
    <w:rPr>
      <w:b/>
      <w:color w:val="000000"/>
      <w:szCs w:val="20"/>
    </w:rPr>
  </w:style>
  <w:style w:type="paragraph" w:styleId="Heading7">
    <w:name w:val="heading 7"/>
    <w:basedOn w:val="Normal"/>
    <w:next w:val="Normal"/>
    <w:qFormat/>
    <w:rsid w:val="00CC3FDF"/>
    <w:pPr>
      <w:keepNext/>
      <w:jc w:val="both"/>
      <w:outlineLvl w:val="6"/>
    </w:pPr>
    <w:rPr>
      <w:b/>
      <w:color w:val="000000"/>
      <w:sz w:val="26"/>
      <w:szCs w:val="20"/>
    </w:rPr>
  </w:style>
  <w:style w:type="paragraph" w:styleId="Heading8">
    <w:name w:val="heading 8"/>
    <w:basedOn w:val="Normal"/>
    <w:next w:val="Normal"/>
    <w:qFormat/>
    <w:rsid w:val="00CC3FDF"/>
    <w:pPr>
      <w:keepNext/>
      <w:ind w:left="-284" w:right="-948"/>
      <w:jc w:val="center"/>
      <w:outlineLvl w:val="7"/>
    </w:pPr>
    <w:rPr>
      <w:b/>
      <w:color w:val="000000"/>
      <w:sz w:val="26"/>
      <w:szCs w:val="20"/>
    </w:rPr>
  </w:style>
  <w:style w:type="paragraph" w:styleId="Heading9">
    <w:name w:val="heading 9"/>
    <w:basedOn w:val="Normal"/>
    <w:next w:val="Normal"/>
    <w:qFormat/>
    <w:rsid w:val="00CC3FDF"/>
    <w:pPr>
      <w:keepNext/>
      <w:jc w:val="both"/>
      <w:outlineLvl w:val="8"/>
    </w:pPr>
    <w:rPr>
      <w:color w:val="00000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C3FDF"/>
    <w:pPr>
      <w:tabs>
        <w:tab w:val="center" w:pos="4536"/>
        <w:tab w:val="right" w:pos="9072"/>
      </w:tabs>
    </w:pPr>
  </w:style>
  <w:style w:type="paragraph" w:styleId="Footer">
    <w:name w:val="footer"/>
    <w:basedOn w:val="Normal"/>
    <w:rsid w:val="00CC3FDF"/>
    <w:pPr>
      <w:tabs>
        <w:tab w:val="center" w:pos="4536"/>
        <w:tab w:val="right" w:pos="9072"/>
      </w:tabs>
    </w:pPr>
  </w:style>
  <w:style w:type="paragraph" w:styleId="BodyText">
    <w:name w:val="Body Text"/>
    <w:basedOn w:val="Normal"/>
    <w:link w:val="BodyTextChar"/>
    <w:rsid w:val="00CC3FDF"/>
    <w:pPr>
      <w:tabs>
        <w:tab w:val="left" w:pos="10490"/>
      </w:tabs>
      <w:jc w:val="both"/>
    </w:pPr>
    <w:rPr>
      <w:szCs w:val="20"/>
    </w:rPr>
  </w:style>
  <w:style w:type="paragraph" w:styleId="BodyText3">
    <w:name w:val="Body Text 3"/>
    <w:basedOn w:val="Normal"/>
    <w:rsid w:val="00CC3FDF"/>
    <w:pPr>
      <w:jc w:val="both"/>
    </w:pPr>
    <w:rPr>
      <w:szCs w:val="20"/>
    </w:rPr>
  </w:style>
  <w:style w:type="paragraph" w:styleId="Caption">
    <w:name w:val="caption"/>
    <w:basedOn w:val="Normal"/>
    <w:next w:val="Normal"/>
    <w:qFormat/>
    <w:rsid w:val="00CC3FDF"/>
    <w:pPr>
      <w:jc w:val="both"/>
    </w:pPr>
    <w:rPr>
      <w:b/>
      <w:color w:val="000000"/>
      <w:sz w:val="26"/>
      <w:szCs w:val="20"/>
    </w:rPr>
  </w:style>
  <w:style w:type="paragraph" w:styleId="TOC1">
    <w:name w:val="toc 1"/>
    <w:basedOn w:val="Normal"/>
    <w:next w:val="Normal"/>
    <w:autoRedefine/>
    <w:semiHidden/>
    <w:rsid w:val="00C14D5B"/>
    <w:pPr>
      <w:jc w:val="center"/>
    </w:pPr>
    <w:rPr>
      <w:rFonts w:ascii="Arial" w:hAnsi="Arial" w:cs="Arial"/>
      <w:b/>
      <w:snapToGrid w:val="0"/>
      <w:color w:val="0000FF"/>
      <w:sz w:val="20"/>
      <w:szCs w:val="20"/>
    </w:rPr>
  </w:style>
  <w:style w:type="paragraph" w:styleId="BodyText2">
    <w:name w:val="Body Text 2"/>
    <w:basedOn w:val="Normal"/>
    <w:rsid w:val="00CC3FDF"/>
    <w:pPr>
      <w:jc w:val="both"/>
    </w:pPr>
    <w:rPr>
      <w:b/>
      <w:sz w:val="20"/>
      <w:szCs w:val="20"/>
    </w:rPr>
  </w:style>
  <w:style w:type="character" w:styleId="FootnoteReference">
    <w:name w:val="footnote reference"/>
    <w:semiHidden/>
    <w:rsid w:val="00CC3FDF"/>
    <w:rPr>
      <w:vertAlign w:val="superscript"/>
    </w:rPr>
  </w:style>
  <w:style w:type="paragraph" w:styleId="FootnoteText">
    <w:name w:val="footnote text"/>
    <w:basedOn w:val="Normal"/>
    <w:link w:val="FootnoteTextChar"/>
    <w:rsid w:val="00CC3FDF"/>
    <w:rPr>
      <w:sz w:val="20"/>
      <w:szCs w:val="20"/>
    </w:rPr>
  </w:style>
  <w:style w:type="character" w:styleId="PageNumber">
    <w:name w:val="page number"/>
    <w:basedOn w:val="DefaultParagraphFont"/>
    <w:rsid w:val="00CC3FDF"/>
  </w:style>
  <w:style w:type="paragraph" w:styleId="Title">
    <w:name w:val="Title"/>
    <w:basedOn w:val="Normal"/>
    <w:qFormat/>
    <w:rsid w:val="00CC3FDF"/>
    <w:pPr>
      <w:jc w:val="center"/>
    </w:pPr>
    <w:rPr>
      <w:b/>
      <w:lang w:val="en-US"/>
    </w:rPr>
  </w:style>
  <w:style w:type="paragraph" w:styleId="Subtitle">
    <w:name w:val="Subtitle"/>
    <w:basedOn w:val="Normal"/>
    <w:qFormat/>
    <w:rsid w:val="00CC3FDF"/>
    <w:pPr>
      <w:jc w:val="both"/>
    </w:pPr>
    <w:rPr>
      <w:b/>
      <w:sz w:val="26"/>
      <w:lang w:val="en-US"/>
    </w:rPr>
  </w:style>
  <w:style w:type="paragraph" w:styleId="BalloonText">
    <w:name w:val="Balloon Text"/>
    <w:basedOn w:val="Normal"/>
    <w:link w:val="BalloonTextChar"/>
    <w:rsid w:val="000B4081"/>
    <w:rPr>
      <w:rFonts w:ascii="Tahoma" w:hAnsi="Tahoma" w:cs="Tahoma"/>
      <w:sz w:val="16"/>
      <w:szCs w:val="16"/>
    </w:rPr>
  </w:style>
  <w:style w:type="character" w:customStyle="1" w:styleId="BalloonTextChar">
    <w:name w:val="Balloon Text Char"/>
    <w:link w:val="BalloonText"/>
    <w:rsid w:val="000B4081"/>
    <w:rPr>
      <w:rFonts w:ascii="Tahoma" w:hAnsi="Tahoma" w:cs="Tahoma"/>
      <w:sz w:val="16"/>
      <w:szCs w:val="16"/>
      <w:lang w:eastAsia="en-US"/>
    </w:rPr>
  </w:style>
  <w:style w:type="character" w:customStyle="1" w:styleId="FootnoteTextChar">
    <w:name w:val="Footnote Text Char"/>
    <w:link w:val="FootnoteText"/>
    <w:rsid w:val="00B84560"/>
    <w:rPr>
      <w:lang w:eastAsia="en-US"/>
    </w:rPr>
  </w:style>
  <w:style w:type="paragraph" w:customStyle="1" w:styleId="Default">
    <w:name w:val="Default"/>
    <w:rsid w:val="000A5A4E"/>
    <w:pPr>
      <w:autoSpaceDE w:val="0"/>
      <w:autoSpaceDN w:val="0"/>
      <w:adjustRightInd w:val="0"/>
    </w:pPr>
    <w:rPr>
      <w:rFonts w:ascii="Century Gothic" w:hAnsi="Century Gothic" w:cs="Century Gothic"/>
      <w:color w:val="000000"/>
      <w:sz w:val="24"/>
      <w:szCs w:val="24"/>
    </w:rPr>
  </w:style>
  <w:style w:type="character" w:customStyle="1" w:styleId="BodyTextChar">
    <w:name w:val="Body Text Char"/>
    <w:link w:val="BodyText"/>
    <w:rsid w:val="006651CF"/>
    <w:rPr>
      <w:sz w:val="24"/>
      <w:lang w:eastAsia="en-US"/>
    </w:rPr>
  </w:style>
  <w:style w:type="character" w:styleId="Hyperlink">
    <w:name w:val="Hyperlink"/>
    <w:uiPriority w:val="99"/>
    <w:unhideWhenUsed/>
    <w:rsid w:val="000D06EE"/>
    <w:rPr>
      <w:color w:val="0000FF"/>
      <w:u w:val="single"/>
    </w:rPr>
  </w:style>
  <w:style w:type="character" w:customStyle="1" w:styleId="hps">
    <w:name w:val="hps"/>
    <w:rsid w:val="00237338"/>
  </w:style>
  <w:style w:type="paragraph" w:styleId="NormalWeb">
    <w:name w:val="Normal (Web)"/>
    <w:basedOn w:val="Normal"/>
    <w:uiPriority w:val="99"/>
    <w:unhideWhenUsed/>
    <w:rsid w:val="00603E13"/>
    <w:pPr>
      <w:spacing w:before="100" w:beforeAutospacing="1" w:after="100" w:afterAutospacing="1"/>
    </w:pPr>
    <w:rPr>
      <w:lang w:eastAsia="tr-TR"/>
    </w:rPr>
  </w:style>
  <w:style w:type="character" w:customStyle="1" w:styleId="shorttext">
    <w:name w:val="short_text"/>
    <w:rsid w:val="00734A42"/>
  </w:style>
  <w:style w:type="character" w:styleId="Strong">
    <w:name w:val="Strong"/>
    <w:uiPriority w:val="22"/>
    <w:qFormat/>
    <w:rsid w:val="008E5C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0833">
      <w:bodyDiv w:val="1"/>
      <w:marLeft w:val="0"/>
      <w:marRight w:val="0"/>
      <w:marTop w:val="0"/>
      <w:marBottom w:val="0"/>
      <w:divBdr>
        <w:top w:val="none" w:sz="0" w:space="0" w:color="auto"/>
        <w:left w:val="none" w:sz="0" w:space="0" w:color="auto"/>
        <w:bottom w:val="none" w:sz="0" w:space="0" w:color="auto"/>
        <w:right w:val="none" w:sz="0" w:space="0" w:color="auto"/>
      </w:divBdr>
    </w:div>
    <w:div w:id="178814494">
      <w:bodyDiv w:val="1"/>
      <w:marLeft w:val="0"/>
      <w:marRight w:val="0"/>
      <w:marTop w:val="0"/>
      <w:marBottom w:val="0"/>
      <w:divBdr>
        <w:top w:val="none" w:sz="0" w:space="0" w:color="auto"/>
        <w:left w:val="none" w:sz="0" w:space="0" w:color="auto"/>
        <w:bottom w:val="none" w:sz="0" w:space="0" w:color="auto"/>
        <w:right w:val="none" w:sz="0" w:space="0" w:color="auto"/>
      </w:divBdr>
    </w:div>
    <w:div w:id="179046172">
      <w:bodyDiv w:val="1"/>
      <w:marLeft w:val="0"/>
      <w:marRight w:val="0"/>
      <w:marTop w:val="0"/>
      <w:marBottom w:val="0"/>
      <w:divBdr>
        <w:top w:val="none" w:sz="0" w:space="0" w:color="auto"/>
        <w:left w:val="none" w:sz="0" w:space="0" w:color="auto"/>
        <w:bottom w:val="none" w:sz="0" w:space="0" w:color="auto"/>
        <w:right w:val="none" w:sz="0" w:space="0" w:color="auto"/>
      </w:divBdr>
    </w:div>
    <w:div w:id="181405786">
      <w:bodyDiv w:val="1"/>
      <w:marLeft w:val="0"/>
      <w:marRight w:val="0"/>
      <w:marTop w:val="0"/>
      <w:marBottom w:val="0"/>
      <w:divBdr>
        <w:top w:val="none" w:sz="0" w:space="0" w:color="auto"/>
        <w:left w:val="none" w:sz="0" w:space="0" w:color="auto"/>
        <w:bottom w:val="none" w:sz="0" w:space="0" w:color="auto"/>
        <w:right w:val="none" w:sz="0" w:space="0" w:color="auto"/>
      </w:divBdr>
      <w:divsChild>
        <w:div w:id="1287934271">
          <w:marLeft w:val="0"/>
          <w:marRight w:val="0"/>
          <w:marTop w:val="0"/>
          <w:marBottom w:val="0"/>
          <w:divBdr>
            <w:top w:val="none" w:sz="0" w:space="0" w:color="auto"/>
            <w:left w:val="none" w:sz="0" w:space="0" w:color="auto"/>
            <w:bottom w:val="none" w:sz="0" w:space="0" w:color="auto"/>
            <w:right w:val="none" w:sz="0" w:space="0" w:color="auto"/>
          </w:divBdr>
          <w:divsChild>
            <w:div w:id="1128664814">
              <w:marLeft w:val="0"/>
              <w:marRight w:val="0"/>
              <w:marTop w:val="0"/>
              <w:marBottom w:val="0"/>
              <w:divBdr>
                <w:top w:val="none" w:sz="0" w:space="0" w:color="auto"/>
                <w:left w:val="none" w:sz="0" w:space="0" w:color="auto"/>
                <w:bottom w:val="none" w:sz="0" w:space="0" w:color="auto"/>
                <w:right w:val="none" w:sz="0" w:space="0" w:color="auto"/>
              </w:divBdr>
              <w:divsChild>
                <w:div w:id="546793581">
                  <w:marLeft w:val="0"/>
                  <w:marRight w:val="0"/>
                  <w:marTop w:val="0"/>
                  <w:marBottom w:val="0"/>
                  <w:divBdr>
                    <w:top w:val="none" w:sz="0" w:space="0" w:color="auto"/>
                    <w:left w:val="none" w:sz="0" w:space="0" w:color="auto"/>
                    <w:bottom w:val="none" w:sz="0" w:space="0" w:color="auto"/>
                    <w:right w:val="none" w:sz="0" w:space="0" w:color="auto"/>
                  </w:divBdr>
                  <w:divsChild>
                    <w:div w:id="828596485">
                      <w:marLeft w:val="0"/>
                      <w:marRight w:val="0"/>
                      <w:marTop w:val="0"/>
                      <w:marBottom w:val="0"/>
                      <w:divBdr>
                        <w:top w:val="none" w:sz="0" w:space="0" w:color="auto"/>
                        <w:left w:val="none" w:sz="0" w:space="0" w:color="auto"/>
                        <w:bottom w:val="none" w:sz="0" w:space="0" w:color="auto"/>
                        <w:right w:val="none" w:sz="0" w:space="0" w:color="auto"/>
                      </w:divBdr>
                      <w:divsChild>
                        <w:div w:id="432093830">
                          <w:marLeft w:val="0"/>
                          <w:marRight w:val="0"/>
                          <w:marTop w:val="0"/>
                          <w:marBottom w:val="0"/>
                          <w:divBdr>
                            <w:top w:val="none" w:sz="0" w:space="0" w:color="auto"/>
                            <w:left w:val="none" w:sz="0" w:space="0" w:color="auto"/>
                            <w:bottom w:val="none" w:sz="0" w:space="0" w:color="auto"/>
                            <w:right w:val="none" w:sz="0" w:space="0" w:color="auto"/>
                          </w:divBdr>
                          <w:divsChild>
                            <w:div w:id="153060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69657">
      <w:bodyDiv w:val="1"/>
      <w:marLeft w:val="0"/>
      <w:marRight w:val="0"/>
      <w:marTop w:val="0"/>
      <w:marBottom w:val="0"/>
      <w:divBdr>
        <w:top w:val="none" w:sz="0" w:space="0" w:color="auto"/>
        <w:left w:val="none" w:sz="0" w:space="0" w:color="auto"/>
        <w:bottom w:val="none" w:sz="0" w:space="0" w:color="auto"/>
        <w:right w:val="none" w:sz="0" w:space="0" w:color="auto"/>
      </w:divBdr>
    </w:div>
    <w:div w:id="221989407">
      <w:bodyDiv w:val="1"/>
      <w:marLeft w:val="0"/>
      <w:marRight w:val="0"/>
      <w:marTop w:val="0"/>
      <w:marBottom w:val="0"/>
      <w:divBdr>
        <w:top w:val="none" w:sz="0" w:space="0" w:color="auto"/>
        <w:left w:val="none" w:sz="0" w:space="0" w:color="auto"/>
        <w:bottom w:val="none" w:sz="0" w:space="0" w:color="auto"/>
        <w:right w:val="none" w:sz="0" w:space="0" w:color="auto"/>
      </w:divBdr>
    </w:div>
    <w:div w:id="228268547">
      <w:bodyDiv w:val="1"/>
      <w:marLeft w:val="0"/>
      <w:marRight w:val="0"/>
      <w:marTop w:val="0"/>
      <w:marBottom w:val="0"/>
      <w:divBdr>
        <w:top w:val="none" w:sz="0" w:space="0" w:color="auto"/>
        <w:left w:val="none" w:sz="0" w:space="0" w:color="auto"/>
        <w:bottom w:val="none" w:sz="0" w:space="0" w:color="auto"/>
        <w:right w:val="none" w:sz="0" w:space="0" w:color="auto"/>
      </w:divBdr>
    </w:div>
    <w:div w:id="289366645">
      <w:bodyDiv w:val="1"/>
      <w:marLeft w:val="0"/>
      <w:marRight w:val="0"/>
      <w:marTop w:val="0"/>
      <w:marBottom w:val="0"/>
      <w:divBdr>
        <w:top w:val="none" w:sz="0" w:space="0" w:color="auto"/>
        <w:left w:val="none" w:sz="0" w:space="0" w:color="auto"/>
        <w:bottom w:val="none" w:sz="0" w:space="0" w:color="auto"/>
        <w:right w:val="none" w:sz="0" w:space="0" w:color="auto"/>
      </w:divBdr>
      <w:divsChild>
        <w:div w:id="338583292">
          <w:marLeft w:val="0"/>
          <w:marRight w:val="0"/>
          <w:marTop w:val="0"/>
          <w:marBottom w:val="0"/>
          <w:divBdr>
            <w:top w:val="none" w:sz="0" w:space="0" w:color="auto"/>
            <w:left w:val="none" w:sz="0" w:space="0" w:color="auto"/>
            <w:bottom w:val="none" w:sz="0" w:space="0" w:color="auto"/>
            <w:right w:val="none" w:sz="0" w:space="0" w:color="auto"/>
          </w:divBdr>
        </w:div>
      </w:divsChild>
    </w:div>
    <w:div w:id="351147863">
      <w:bodyDiv w:val="1"/>
      <w:marLeft w:val="0"/>
      <w:marRight w:val="0"/>
      <w:marTop w:val="0"/>
      <w:marBottom w:val="0"/>
      <w:divBdr>
        <w:top w:val="none" w:sz="0" w:space="0" w:color="auto"/>
        <w:left w:val="none" w:sz="0" w:space="0" w:color="auto"/>
        <w:bottom w:val="none" w:sz="0" w:space="0" w:color="auto"/>
        <w:right w:val="none" w:sz="0" w:space="0" w:color="auto"/>
      </w:divBdr>
    </w:div>
    <w:div w:id="361832494">
      <w:bodyDiv w:val="1"/>
      <w:marLeft w:val="0"/>
      <w:marRight w:val="0"/>
      <w:marTop w:val="0"/>
      <w:marBottom w:val="0"/>
      <w:divBdr>
        <w:top w:val="none" w:sz="0" w:space="0" w:color="auto"/>
        <w:left w:val="none" w:sz="0" w:space="0" w:color="auto"/>
        <w:bottom w:val="none" w:sz="0" w:space="0" w:color="auto"/>
        <w:right w:val="none" w:sz="0" w:space="0" w:color="auto"/>
      </w:divBdr>
    </w:div>
    <w:div w:id="398402566">
      <w:bodyDiv w:val="1"/>
      <w:marLeft w:val="0"/>
      <w:marRight w:val="0"/>
      <w:marTop w:val="0"/>
      <w:marBottom w:val="0"/>
      <w:divBdr>
        <w:top w:val="none" w:sz="0" w:space="0" w:color="auto"/>
        <w:left w:val="none" w:sz="0" w:space="0" w:color="auto"/>
        <w:bottom w:val="none" w:sz="0" w:space="0" w:color="auto"/>
        <w:right w:val="none" w:sz="0" w:space="0" w:color="auto"/>
      </w:divBdr>
    </w:div>
    <w:div w:id="430013286">
      <w:bodyDiv w:val="1"/>
      <w:marLeft w:val="0"/>
      <w:marRight w:val="0"/>
      <w:marTop w:val="0"/>
      <w:marBottom w:val="0"/>
      <w:divBdr>
        <w:top w:val="none" w:sz="0" w:space="0" w:color="auto"/>
        <w:left w:val="none" w:sz="0" w:space="0" w:color="auto"/>
        <w:bottom w:val="none" w:sz="0" w:space="0" w:color="auto"/>
        <w:right w:val="none" w:sz="0" w:space="0" w:color="auto"/>
      </w:divBdr>
    </w:div>
    <w:div w:id="481041880">
      <w:bodyDiv w:val="1"/>
      <w:marLeft w:val="0"/>
      <w:marRight w:val="0"/>
      <w:marTop w:val="0"/>
      <w:marBottom w:val="0"/>
      <w:divBdr>
        <w:top w:val="none" w:sz="0" w:space="0" w:color="auto"/>
        <w:left w:val="none" w:sz="0" w:space="0" w:color="auto"/>
        <w:bottom w:val="none" w:sz="0" w:space="0" w:color="auto"/>
        <w:right w:val="none" w:sz="0" w:space="0" w:color="auto"/>
      </w:divBdr>
    </w:div>
    <w:div w:id="486362293">
      <w:bodyDiv w:val="1"/>
      <w:marLeft w:val="0"/>
      <w:marRight w:val="0"/>
      <w:marTop w:val="0"/>
      <w:marBottom w:val="0"/>
      <w:divBdr>
        <w:top w:val="none" w:sz="0" w:space="0" w:color="auto"/>
        <w:left w:val="none" w:sz="0" w:space="0" w:color="auto"/>
        <w:bottom w:val="none" w:sz="0" w:space="0" w:color="auto"/>
        <w:right w:val="none" w:sz="0" w:space="0" w:color="auto"/>
      </w:divBdr>
    </w:div>
    <w:div w:id="509681942">
      <w:bodyDiv w:val="1"/>
      <w:marLeft w:val="0"/>
      <w:marRight w:val="0"/>
      <w:marTop w:val="0"/>
      <w:marBottom w:val="0"/>
      <w:divBdr>
        <w:top w:val="none" w:sz="0" w:space="0" w:color="auto"/>
        <w:left w:val="none" w:sz="0" w:space="0" w:color="auto"/>
        <w:bottom w:val="none" w:sz="0" w:space="0" w:color="auto"/>
        <w:right w:val="none" w:sz="0" w:space="0" w:color="auto"/>
      </w:divBdr>
    </w:div>
    <w:div w:id="551965879">
      <w:bodyDiv w:val="1"/>
      <w:marLeft w:val="0"/>
      <w:marRight w:val="0"/>
      <w:marTop w:val="0"/>
      <w:marBottom w:val="0"/>
      <w:divBdr>
        <w:top w:val="none" w:sz="0" w:space="0" w:color="auto"/>
        <w:left w:val="none" w:sz="0" w:space="0" w:color="auto"/>
        <w:bottom w:val="none" w:sz="0" w:space="0" w:color="auto"/>
        <w:right w:val="none" w:sz="0" w:space="0" w:color="auto"/>
      </w:divBdr>
    </w:div>
    <w:div w:id="573274031">
      <w:bodyDiv w:val="1"/>
      <w:marLeft w:val="0"/>
      <w:marRight w:val="0"/>
      <w:marTop w:val="0"/>
      <w:marBottom w:val="0"/>
      <w:divBdr>
        <w:top w:val="none" w:sz="0" w:space="0" w:color="auto"/>
        <w:left w:val="none" w:sz="0" w:space="0" w:color="auto"/>
        <w:bottom w:val="none" w:sz="0" w:space="0" w:color="auto"/>
        <w:right w:val="none" w:sz="0" w:space="0" w:color="auto"/>
      </w:divBdr>
    </w:div>
    <w:div w:id="616986869">
      <w:bodyDiv w:val="1"/>
      <w:marLeft w:val="0"/>
      <w:marRight w:val="0"/>
      <w:marTop w:val="0"/>
      <w:marBottom w:val="0"/>
      <w:divBdr>
        <w:top w:val="none" w:sz="0" w:space="0" w:color="auto"/>
        <w:left w:val="none" w:sz="0" w:space="0" w:color="auto"/>
        <w:bottom w:val="none" w:sz="0" w:space="0" w:color="auto"/>
        <w:right w:val="none" w:sz="0" w:space="0" w:color="auto"/>
      </w:divBdr>
    </w:div>
    <w:div w:id="674962401">
      <w:bodyDiv w:val="1"/>
      <w:marLeft w:val="0"/>
      <w:marRight w:val="0"/>
      <w:marTop w:val="0"/>
      <w:marBottom w:val="0"/>
      <w:divBdr>
        <w:top w:val="none" w:sz="0" w:space="0" w:color="auto"/>
        <w:left w:val="none" w:sz="0" w:space="0" w:color="auto"/>
        <w:bottom w:val="none" w:sz="0" w:space="0" w:color="auto"/>
        <w:right w:val="none" w:sz="0" w:space="0" w:color="auto"/>
      </w:divBdr>
    </w:div>
    <w:div w:id="842864873">
      <w:bodyDiv w:val="1"/>
      <w:marLeft w:val="0"/>
      <w:marRight w:val="0"/>
      <w:marTop w:val="0"/>
      <w:marBottom w:val="0"/>
      <w:divBdr>
        <w:top w:val="none" w:sz="0" w:space="0" w:color="auto"/>
        <w:left w:val="none" w:sz="0" w:space="0" w:color="auto"/>
        <w:bottom w:val="none" w:sz="0" w:space="0" w:color="auto"/>
        <w:right w:val="none" w:sz="0" w:space="0" w:color="auto"/>
      </w:divBdr>
    </w:div>
    <w:div w:id="937711949">
      <w:bodyDiv w:val="1"/>
      <w:marLeft w:val="0"/>
      <w:marRight w:val="0"/>
      <w:marTop w:val="0"/>
      <w:marBottom w:val="0"/>
      <w:divBdr>
        <w:top w:val="none" w:sz="0" w:space="0" w:color="auto"/>
        <w:left w:val="none" w:sz="0" w:space="0" w:color="auto"/>
        <w:bottom w:val="none" w:sz="0" w:space="0" w:color="auto"/>
        <w:right w:val="none" w:sz="0" w:space="0" w:color="auto"/>
      </w:divBdr>
    </w:div>
    <w:div w:id="955671947">
      <w:bodyDiv w:val="1"/>
      <w:marLeft w:val="0"/>
      <w:marRight w:val="0"/>
      <w:marTop w:val="0"/>
      <w:marBottom w:val="0"/>
      <w:divBdr>
        <w:top w:val="none" w:sz="0" w:space="0" w:color="auto"/>
        <w:left w:val="none" w:sz="0" w:space="0" w:color="auto"/>
        <w:bottom w:val="none" w:sz="0" w:space="0" w:color="auto"/>
        <w:right w:val="none" w:sz="0" w:space="0" w:color="auto"/>
      </w:divBdr>
    </w:div>
    <w:div w:id="965891671">
      <w:bodyDiv w:val="1"/>
      <w:marLeft w:val="0"/>
      <w:marRight w:val="0"/>
      <w:marTop w:val="0"/>
      <w:marBottom w:val="0"/>
      <w:divBdr>
        <w:top w:val="none" w:sz="0" w:space="0" w:color="auto"/>
        <w:left w:val="none" w:sz="0" w:space="0" w:color="auto"/>
        <w:bottom w:val="none" w:sz="0" w:space="0" w:color="auto"/>
        <w:right w:val="none" w:sz="0" w:space="0" w:color="auto"/>
      </w:divBdr>
    </w:div>
    <w:div w:id="1061322391">
      <w:bodyDiv w:val="1"/>
      <w:marLeft w:val="0"/>
      <w:marRight w:val="0"/>
      <w:marTop w:val="0"/>
      <w:marBottom w:val="0"/>
      <w:divBdr>
        <w:top w:val="none" w:sz="0" w:space="0" w:color="auto"/>
        <w:left w:val="none" w:sz="0" w:space="0" w:color="auto"/>
        <w:bottom w:val="none" w:sz="0" w:space="0" w:color="auto"/>
        <w:right w:val="none" w:sz="0" w:space="0" w:color="auto"/>
      </w:divBdr>
    </w:div>
    <w:div w:id="1101494155">
      <w:bodyDiv w:val="1"/>
      <w:marLeft w:val="0"/>
      <w:marRight w:val="0"/>
      <w:marTop w:val="0"/>
      <w:marBottom w:val="0"/>
      <w:divBdr>
        <w:top w:val="none" w:sz="0" w:space="0" w:color="auto"/>
        <w:left w:val="none" w:sz="0" w:space="0" w:color="auto"/>
        <w:bottom w:val="none" w:sz="0" w:space="0" w:color="auto"/>
        <w:right w:val="none" w:sz="0" w:space="0" w:color="auto"/>
      </w:divBdr>
    </w:div>
    <w:div w:id="1125587427">
      <w:bodyDiv w:val="1"/>
      <w:marLeft w:val="0"/>
      <w:marRight w:val="0"/>
      <w:marTop w:val="0"/>
      <w:marBottom w:val="0"/>
      <w:divBdr>
        <w:top w:val="none" w:sz="0" w:space="0" w:color="auto"/>
        <w:left w:val="none" w:sz="0" w:space="0" w:color="auto"/>
        <w:bottom w:val="none" w:sz="0" w:space="0" w:color="auto"/>
        <w:right w:val="none" w:sz="0" w:space="0" w:color="auto"/>
      </w:divBdr>
    </w:div>
    <w:div w:id="1129395660">
      <w:bodyDiv w:val="1"/>
      <w:marLeft w:val="0"/>
      <w:marRight w:val="0"/>
      <w:marTop w:val="0"/>
      <w:marBottom w:val="0"/>
      <w:divBdr>
        <w:top w:val="none" w:sz="0" w:space="0" w:color="auto"/>
        <w:left w:val="none" w:sz="0" w:space="0" w:color="auto"/>
        <w:bottom w:val="none" w:sz="0" w:space="0" w:color="auto"/>
        <w:right w:val="none" w:sz="0" w:space="0" w:color="auto"/>
      </w:divBdr>
    </w:div>
    <w:div w:id="1165055289">
      <w:bodyDiv w:val="1"/>
      <w:marLeft w:val="0"/>
      <w:marRight w:val="0"/>
      <w:marTop w:val="0"/>
      <w:marBottom w:val="0"/>
      <w:divBdr>
        <w:top w:val="none" w:sz="0" w:space="0" w:color="auto"/>
        <w:left w:val="none" w:sz="0" w:space="0" w:color="auto"/>
        <w:bottom w:val="none" w:sz="0" w:space="0" w:color="auto"/>
        <w:right w:val="none" w:sz="0" w:space="0" w:color="auto"/>
      </w:divBdr>
    </w:div>
    <w:div w:id="1328705611">
      <w:bodyDiv w:val="1"/>
      <w:marLeft w:val="0"/>
      <w:marRight w:val="0"/>
      <w:marTop w:val="0"/>
      <w:marBottom w:val="0"/>
      <w:divBdr>
        <w:top w:val="none" w:sz="0" w:space="0" w:color="auto"/>
        <w:left w:val="none" w:sz="0" w:space="0" w:color="auto"/>
        <w:bottom w:val="none" w:sz="0" w:space="0" w:color="auto"/>
        <w:right w:val="none" w:sz="0" w:space="0" w:color="auto"/>
      </w:divBdr>
    </w:div>
    <w:div w:id="1380937249">
      <w:bodyDiv w:val="1"/>
      <w:marLeft w:val="0"/>
      <w:marRight w:val="0"/>
      <w:marTop w:val="0"/>
      <w:marBottom w:val="0"/>
      <w:divBdr>
        <w:top w:val="none" w:sz="0" w:space="0" w:color="auto"/>
        <w:left w:val="none" w:sz="0" w:space="0" w:color="auto"/>
        <w:bottom w:val="none" w:sz="0" w:space="0" w:color="auto"/>
        <w:right w:val="none" w:sz="0" w:space="0" w:color="auto"/>
      </w:divBdr>
    </w:div>
    <w:div w:id="1392659469">
      <w:bodyDiv w:val="1"/>
      <w:marLeft w:val="0"/>
      <w:marRight w:val="0"/>
      <w:marTop w:val="0"/>
      <w:marBottom w:val="0"/>
      <w:divBdr>
        <w:top w:val="none" w:sz="0" w:space="0" w:color="auto"/>
        <w:left w:val="none" w:sz="0" w:space="0" w:color="auto"/>
        <w:bottom w:val="none" w:sz="0" w:space="0" w:color="auto"/>
        <w:right w:val="none" w:sz="0" w:space="0" w:color="auto"/>
      </w:divBdr>
    </w:div>
    <w:div w:id="1482850009">
      <w:bodyDiv w:val="1"/>
      <w:marLeft w:val="0"/>
      <w:marRight w:val="0"/>
      <w:marTop w:val="0"/>
      <w:marBottom w:val="0"/>
      <w:divBdr>
        <w:top w:val="none" w:sz="0" w:space="0" w:color="auto"/>
        <w:left w:val="none" w:sz="0" w:space="0" w:color="auto"/>
        <w:bottom w:val="none" w:sz="0" w:space="0" w:color="auto"/>
        <w:right w:val="none" w:sz="0" w:space="0" w:color="auto"/>
      </w:divBdr>
    </w:div>
    <w:div w:id="1484347364">
      <w:bodyDiv w:val="1"/>
      <w:marLeft w:val="0"/>
      <w:marRight w:val="0"/>
      <w:marTop w:val="0"/>
      <w:marBottom w:val="0"/>
      <w:divBdr>
        <w:top w:val="none" w:sz="0" w:space="0" w:color="auto"/>
        <w:left w:val="none" w:sz="0" w:space="0" w:color="auto"/>
        <w:bottom w:val="none" w:sz="0" w:space="0" w:color="auto"/>
        <w:right w:val="none" w:sz="0" w:space="0" w:color="auto"/>
      </w:divBdr>
    </w:div>
    <w:div w:id="1582834584">
      <w:bodyDiv w:val="1"/>
      <w:marLeft w:val="0"/>
      <w:marRight w:val="0"/>
      <w:marTop w:val="0"/>
      <w:marBottom w:val="0"/>
      <w:divBdr>
        <w:top w:val="none" w:sz="0" w:space="0" w:color="auto"/>
        <w:left w:val="none" w:sz="0" w:space="0" w:color="auto"/>
        <w:bottom w:val="none" w:sz="0" w:space="0" w:color="auto"/>
        <w:right w:val="none" w:sz="0" w:space="0" w:color="auto"/>
      </w:divBdr>
    </w:div>
    <w:div w:id="1608732432">
      <w:bodyDiv w:val="1"/>
      <w:marLeft w:val="0"/>
      <w:marRight w:val="0"/>
      <w:marTop w:val="0"/>
      <w:marBottom w:val="0"/>
      <w:divBdr>
        <w:top w:val="none" w:sz="0" w:space="0" w:color="auto"/>
        <w:left w:val="none" w:sz="0" w:space="0" w:color="auto"/>
        <w:bottom w:val="none" w:sz="0" w:space="0" w:color="auto"/>
        <w:right w:val="none" w:sz="0" w:space="0" w:color="auto"/>
      </w:divBdr>
    </w:div>
    <w:div w:id="1619875163">
      <w:bodyDiv w:val="1"/>
      <w:marLeft w:val="0"/>
      <w:marRight w:val="0"/>
      <w:marTop w:val="0"/>
      <w:marBottom w:val="0"/>
      <w:divBdr>
        <w:top w:val="none" w:sz="0" w:space="0" w:color="auto"/>
        <w:left w:val="none" w:sz="0" w:space="0" w:color="auto"/>
        <w:bottom w:val="none" w:sz="0" w:space="0" w:color="auto"/>
        <w:right w:val="none" w:sz="0" w:space="0" w:color="auto"/>
      </w:divBdr>
    </w:div>
    <w:div w:id="1654024020">
      <w:bodyDiv w:val="1"/>
      <w:marLeft w:val="0"/>
      <w:marRight w:val="0"/>
      <w:marTop w:val="0"/>
      <w:marBottom w:val="0"/>
      <w:divBdr>
        <w:top w:val="none" w:sz="0" w:space="0" w:color="auto"/>
        <w:left w:val="none" w:sz="0" w:space="0" w:color="auto"/>
        <w:bottom w:val="none" w:sz="0" w:space="0" w:color="auto"/>
        <w:right w:val="none" w:sz="0" w:space="0" w:color="auto"/>
      </w:divBdr>
    </w:div>
    <w:div w:id="1703902717">
      <w:bodyDiv w:val="1"/>
      <w:marLeft w:val="0"/>
      <w:marRight w:val="0"/>
      <w:marTop w:val="0"/>
      <w:marBottom w:val="0"/>
      <w:divBdr>
        <w:top w:val="none" w:sz="0" w:space="0" w:color="auto"/>
        <w:left w:val="none" w:sz="0" w:space="0" w:color="auto"/>
        <w:bottom w:val="none" w:sz="0" w:space="0" w:color="auto"/>
        <w:right w:val="none" w:sz="0" w:space="0" w:color="auto"/>
      </w:divBdr>
    </w:div>
    <w:div w:id="1762875211">
      <w:bodyDiv w:val="1"/>
      <w:marLeft w:val="0"/>
      <w:marRight w:val="0"/>
      <w:marTop w:val="0"/>
      <w:marBottom w:val="0"/>
      <w:divBdr>
        <w:top w:val="none" w:sz="0" w:space="0" w:color="auto"/>
        <w:left w:val="none" w:sz="0" w:space="0" w:color="auto"/>
        <w:bottom w:val="none" w:sz="0" w:space="0" w:color="auto"/>
        <w:right w:val="none" w:sz="0" w:space="0" w:color="auto"/>
      </w:divBdr>
      <w:divsChild>
        <w:div w:id="432475687">
          <w:marLeft w:val="0"/>
          <w:marRight w:val="0"/>
          <w:marTop w:val="0"/>
          <w:marBottom w:val="0"/>
          <w:divBdr>
            <w:top w:val="none" w:sz="0" w:space="0" w:color="auto"/>
            <w:left w:val="none" w:sz="0" w:space="0" w:color="auto"/>
            <w:bottom w:val="none" w:sz="0" w:space="0" w:color="auto"/>
            <w:right w:val="none" w:sz="0" w:space="0" w:color="auto"/>
          </w:divBdr>
          <w:divsChild>
            <w:div w:id="1935895603">
              <w:marLeft w:val="0"/>
              <w:marRight w:val="0"/>
              <w:marTop w:val="0"/>
              <w:marBottom w:val="0"/>
              <w:divBdr>
                <w:top w:val="none" w:sz="0" w:space="0" w:color="auto"/>
                <w:left w:val="none" w:sz="0" w:space="0" w:color="auto"/>
                <w:bottom w:val="none" w:sz="0" w:space="0" w:color="auto"/>
                <w:right w:val="none" w:sz="0" w:space="0" w:color="auto"/>
              </w:divBdr>
              <w:divsChild>
                <w:div w:id="581722038">
                  <w:marLeft w:val="0"/>
                  <w:marRight w:val="0"/>
                  <w:marTop w:val="0"/>
                  <w:marBottom w:val="0"/>
                  <w:divBdr>
                    <w:top w:val="none" w:sz="0" w:space="0" w:color="auto"/>
                    <w:left w:val="none" w:sz="0" w:space="0" w:color="auto"/>
                    <w:bottom w:val="none" w:sz="0" w:space="0" w:color="auto"/>
                    <w:right w:val="none" w:sz="0" w:space="0" w:color="auto"/>
                  </w:divBdr>
                  <w:divsChild>
                    <w:div w:id="2044404579">
                      <w:marLeft w:val="0"/>
                      <w:marRight w:val="0"/>
                      <w:marTop w:val="0"/>
                      <w:marBottom w:val="0"/>
                      <w:divBdr>
                        <w:top w:val="none" w:sz="0" w:space="0" w:color="auto"/>
                        <w:left w:val="none" w:sz="0" w:space="0" w:color="auto"/>
                        <w:bottom w:val="none" w:sz="0" w:space="0" w:color="auto"/>
                        <w:right w:val="none" w:sz="0" w:space="0" w:color="auto"/>
                      </w:divBdr>
                      <w:divsChild>
                        <w:div w:id="1337221590">
                          <w:marLeft w:val="0"/>
                          <w:marRight w:val="0"/>
                          <w:marTop w:val="0"/>
                          <w:marBottom w:val="0"/>
                          <w:divBdr>
                            <w:top w:val="none" w:sz="0" w:space="0" w:color="auto"/>
                            <w:left w:val="none" w:sz="0" w:space="0" w:color="auto"/>
                            <w:bottom w:val="none" w:sz="0" w:space="0" w:color="auto"/>
                            <w:right w:val="none" w:sz="0" w:space="0" w:color="auto"/>
                          </w:divBdr>
                          <w:divsChild>
                            <w:div w:id="21224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5632079">
      <w:bodyDiv w:val="1"/>
      <w:marLeft w:val="0"/>
      <w:marRight w:val="0"/>
      <w:marTop w:val="0"/>
      <w:marBottom w:val="0"/>
      <w:divBdr>
        <w:top w:val="none" w:sz="0" w:space="0" w:color="auto"/>
        <w:left w:val="none" w:sz="0" w:space="0" w:color="auto"/>
        <w:bottom w:val="none" w:sz="0" w:space="0" w:color="auto"/>
        <w:right w:val="none" w:sz="0" w:space="0" w:color="auto"/>
      </w:divBdr>
    </w:div>
    <w:div w:id="1922255507">
      <w:bodyDiv w:val="1"/>
      <w:marLeft w:val="0"/>
      <w:marRight w:val="0"/>
      <w:marTop w:val="0"/>
      <w:marBottom w:val="0"/>
      <w:divBdr>
        <w:top w:val="none" w:sz="0" w:space="0" w:color="auto"/>
        <w:left w:val="none" w:sz="0" w:space="0" w:color="auto"/>
        <w:bottom w:val="none" w:sz="0" w:space="0" w:color="auto"/>
        <w:right w:val="none" w:sz="0" w:space="0" w:color="auto"/>
      </w:divBdr>
    </w:div>
    <w:div w:id="1923950298">
      <w:bodyDiv w:val="1"/>
      <w:marLeft w:val="0"/>
      <w:marRight w:val="0"/>
      <w:marTop w:val="0"/>
      <w:marBottom w:val="0"/>
      <w:divBdr>
        <w:top w:val="none" w:sz="0" w:space="0" w:color="auto"/>
        <w:left w:val="none" w:sz="0" w:space="0" w:color="auto"/>
        <w:bottom w:val="none" w:sz="0" w:space="0" w:color="auto"/>
        <w:right w:val="none" w:sz="0" w:space="0" w:color="auto"/>
      </w:divBdr>
    </w:div>
    <w:div w:id="1928733157">
      <w:bodyDiv w:val="1"/>
      <w:marLeft w:val="0"/>
      <w:marRight w:val="0"/>
      <w:marTop w:val="0"/>
      <w:marBottom w:val="0"/>
      <w:divBdr>
        <w:top w:val="none" w:sz="0" w:space="0" w:color="auto"/>
        <w:left w:val="none" w:sz="0" w:space="0" w:color="auto"/>
        <w:bottom w:val="none" w:sz="0" w:space="0" w:color="auto"/>
        <w:right w:val="none" w:sz="0" w:space="0" w:color="auto"/>
      </w:divBdr>
    </w:div>
    <w:div w:id="1954364762">
      <w:bodyDiv w:val="1"/>
      <w:marLeft w:val="0"/>
      <w:marRight w:val="0"/>
      <w:marTop w:val="0"/>
      <w:marBottom w:val="0"/>
      <w:divBdr>
        <w:top w:val="none" w:sz="0" w:space="0" w:color="auto"/>
        <w:left w:val="none" w:sz="0" w:space="0" w:color="auto"/>
        <w:bottom w:val="none" w:sz="0" w:space="0" w:color="auto"/>
        <w:right w:val="none" w:sz="0" w:space="0" w:color="auto"/>
      </w:divBdr>
    </w:div>
    <w:div w:id="1990211491">
      <w:bodyDiv w:val="1"/>
      <w:marLeft w:val="0"/>
      <w:marRight w:val="0"/>
      <w:marTop w:val="0"/>
      <w:marBottom w:val="0"/>
      <w:divBdr>
        <w:top w:val="none" w:sz="0" w:space="0" w:color="auto"/>
        <w:left w:val="none" w:sz="0" w:space="0" w:color="auto"/>
        <w:bottom w:val="none" w:sz="0" w:space="0" w:color="auto"/>
        <w:right w:val="none" w:sz="0" w:space="0" w:color="auto"/>
      </w:divBdr>
    </w:div>
    <w:div w:id="2027057629">
      <w:bodyDiv w:val="1"/>
      <w:marLeft w:val="0"/>
      <w:marRight w:val="0"/>
      <w:marTop w:val="0"/>
      <w:marBottom w:val="0"/>
      <w:divBdr>
        <w:top w:val="none" w:sz="0" w:space="0" w:color="auto"/>
        <w:left w:val="none" w:sz="0" w:space="0" w:color="auto"/>
        <w:bottom w:val="none" w:sz="0" w:space="0" w:color="auto"/>
        <w:right w:val="none" w:sz="0" w:space="0" w:color="auto"/>
      </w:divBdr>
    </w:div>
    <w:div w:id="2040471872">
      <w:bodyDiv w:val="1"/>
      <w:marLeft w:val="0"/>
      <w:marRight w:val="0"/>
      <w:marTop w:val="0"/>
      <w:marBottom w:val="0"/>
      <w:divBdr>
        <w:top w:val="none" w:sz="0" w:space="0" w:color="auto"/>
        <w:left w:val="none" w:sz="0" w:space="0" w:color="auto"/>
        <w:bottom w:val="none" w:sz="0" w:space="0" w:color="auto"/>
        <w:right w:val="none" w:sz="0" w:space="0" w:color="auto"/>
      </w:divBdr>
      <w:divsChild>
        <w:div w:id="360984022">
          <w:marLeft w:val="0"/>
          <w:marRight w:val="0"/>
          <w:marTop w:val="0"/>
          <w:marBottom w:val="0"/>
          <w:divBdr>
            <w:top w:val="none" w:sz="0" w:space="0" w:color="auto"/>
            <w:left w:val="none" w:sz="0" w:space="0" w:color="auto"/>
            <w:bottom w:val="none" w:sz="0" w:space="0" w:color="auto"/>
            <w:right w:val="none" w:sz="0" w:space="0" w:color="auto"/>
          </w:divBdr>
          <w:divsChild>
            <w:div w:id="429204797">
              <w:marLeft w:val="0"/>
              <w:marRight w:val="0"/>
              <w:marTop w:val="0"/>
              <w:marBottom w:val="0"/>
              <w:divBdr>
                <w:top w:val="none" w:sz="0" w:space="0" w:color="auto"/>
                <w:left w:val="none" w:sz="0" w:space="0" w:color="auto"/>
                <w:bottom w:val="none" w:sz="0" w:space="0" w:color="auto"/>
                <w:right w:val="none" w:sz="0" w:space="0" w:color="auto"/>
              </w:divBdr>
              <w:divsChild>
                <w:div w:id="1358892257">
                  <w:marLeft w:val="0"/>
                  <w:marRight w:val="0"/>
                  <w:marTop w:val="0"/>
                  <w:marBottom w:val="0"/>
                  <w:divBdr>
                    <w:top w:val="none" w:sz="0" w:space="0" w:color="auto"/>
                    <w:left w:val="none" w:sz="0" w:space="0" w:color="auto"/>
                    <w:bottom w:val="none" w:sz="0" w:space="0" w:color="auto"/>
                    <w:right w:val="none" w:sz="0" w:space="0" w:color="auto"/>
                  </w:divBdr>
                  <w:divsChild>
                    <w:div w:id="2091387460">
                      <w:marLeft w:val="0"/>
                      <w:marRight w:val="0"/>
                      <w:marTop w:val="0"/>
                      <w:marBottom w:val="0"/>
                      <w:divBdr>
                        <w:top w:val="none" w:sz="0" w:space="0" w:color="auto"/>
                        <w:left w:val="none" w:sz="0" w:space="0" w:color="auto"/>
                        <w:bottom w:val="none" w:sz="0" w:space="0" w:color="auto"/>
                        <w:right w:val="none" w:sz="0" w:space="0" w:color="auto"/>
                      </w:divBdr>
                      <w:divsChild>
                        <w:div w:id="89401046">
                          <w:marLeft w:val="0"/>
                          <w:marRight w:val="0"/>
                          <w:marTop w:val="0"/>
                          <w:marBottom w:val="0"/>
                          <w:divBdr>
                            <w:top w:val="none" w:sz="0" w:space="0" w:color="auto"/>
                            <w:left w:val="none" w:sz="0" w:space="0" w:color="auto"/>
                            <w:bottom w:val="none" w:sz="0" w:space="0" w:color="auto"/>
                            <w:right w:val="none" w:sz="0" w:space="0" w:color="auto"/>
                          </w:divBdr>
                          <w:divsChild>
                            <w:div w:id="93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oleObject" Target="file:///\\tbbdosyas\mev\Bankac&#305;l&#305;k%20G&#246;stergeleri%20Sunumlar\Ara&#351;t&#305;rma%20raporlar&#305;\bankalar&#305;m&#305;z\2013\grafikler.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3824492468893258E-2"/>
          <c:y val="0.1133337022581455"/>
          <c:w val="0.84937786509495738"/>
          <c:h val="0.80185403907844854"/>
        </c:manualLayout>
      </c:layout>
      <c:barChart>
        <c:barDir val="col"/>
        <c:grouping val="clustered"/>
        <c:varyColors val="0"/>
        <c:ser>
          <c:idx val="1"/>
          <c:order val="0"/>
          <c:spPr>
            <a:pattFill prst="pct30">
              <a:fgClr>
                <a:srgbClr val="0000FF"/>
              </a:fgClr>
              <a:bgClr>
                <a:schemeClr val="bg1"/>
              </a:bgClr>
            </a:pattFill>
            <a:ln w="9525">
              <a:solidFill>
                <a:sysClr val="windowText" lastClr="000000"/>
              </a:solidFill>
              <a:prstDash val="solid"/>
            </a:ln>
          </c:spPr>
          <c:invertIfNegative val="0"/>
          <c:cat>
            <c:strRef>
              <c:f>Sheet2!$B$24:$B$30</c:f>
              <c:strCache>
                <c:ptCount val="7"/>
                <c:pt idx="0">
                  <c:v>08</c:v>
                </c:pt>
                <c:pt idx="1">
                  <c:v>09</c:v>
                </c:pt>
                <c:pt idx="2">
                  <c:v>10</c:v>
                </c:pt>
                <c:pt idx="3">
                  <c:v>11</c:v>
                </c:pt>
                <c:pt idx="4">
                  <c:v>12</c:v>
                </c:pt>
                <c:pt idx="5">
                  <c:v>13</c:v>
                </c:pt>
                <c:pt idx="6">
                  <c:v>14/1</c:v>
                </c:pt>
              </c:strCache>
            </c:strRef>
          </c:cat>
          <c:val>
            <c:numRef>
              <c:f>Sheet2!$C$24:$C$30</c:f>
              <c:numCache>
                <c:formatCode>General</c:formatCode>
                <c:ptCount val="7"/>
                <c:pt idx="0">
                  <c:v>742</c:v>
                </c:pt>
                <c:pt idx="1">
                  <c:v>617</c:v>
                </c:pt>
                <c:pt idx="2">
                  <c:v>732</c:v>
                </c:pt>
                <c:pt idx="3">
                  <c:v>772</c:v>
                </c:pt>
                <c:pt idx="4">
                  <c:v>786</c:v>
                </c:pt>
                <c:pt idx="5">
                  <c:v>820</c:v>
                </c:pt>
                <c:pt idx="6" formatCode="0">
                  <c:v>834</c:v>
                </c:pt>
              </c:numCache>
            </c:numRef>
          </c:val>
        </c:ser>
        <c:dLbls>
          <c:showLegendKey val="0"/>
          <c:showVal val="0"/>
          <c:showCatName val="0"/>
          <c:showSerName val="0"/>
          <c:showPercent val="0"/>
          <c:showBubbleSize val="0"/>
        </c:dLbls>
        <c:gapWidth val="150"/>
        <c:axId val="74286592"/>
        <c:axId val="74288128"/>
      </c:barChart>
      <c:lineChart>
        <c:grouping val="standard"/>
        <c:varyColors val="0"/>
        <c:ser>
          <c:idx val="0"/>
          <c:order val="1"/>
          <c:spPr>
            <a:ln w="38100">
              <a:solidFill>
                <a:srgbClr val="0000CC"/>
              </a:solidFill>
              <a:prstDash val="solid"/>
            </a:ln>
          </c:spPr>
          <c:marker>
            <c:symbol val="none"/>
          </c:marker>
          <c:cat>
            <c:strRef>
              <c:f>Sheet2!$B$24:$B$30</c:f>
              <c:strCache>
                <c:ptCount val="7"/>
                <c:pt idx="0">
                  <c:v>08</c:v>
                </c:pt>
                <c:pt idx="1">
                  <c:v>09</c:v>
                </c:pt>
                <c:pt idx="2">
                  <c:v>10</c:v>
                </c:pt>
                <c:pt idx="3">
                  <c:v>11</c:v>
                </c:pt>
                <c:pt idx="4">
                  <c:v>12</c:v>
                </c:pt>
                <c:pt idx="5">
                  <c:v>13</c:v>
                </c:pt>
                <c:pt idx="6">
                  <c:v>14/1</c:v>
                </c:pt>
              </c:strCache>
            </c:strRef>
          </c:cat>
          <c:val>
            <c:numRef>
              <c:f>Sheet2!$D$24:$D$30</c:f>
              <c:numCache>
                <c:formatCode>0</c:formatCode>
                <c:ptCount val="7"/>
                <c:pt idx="0">
                  <c:v>77.050355941114603</c:v>
                </c:pt>
                <c:pt idx="1">
                  <c:v>87.505214060860439</c:v>
                </c:pt>
                <c:pt idx="2">
                  <c:v>91.181522171945701</c:v>
                </c:pt>
                <c:pt idx="3">
                  <c:v>94.024674131274125</c:v>
                </c:pt>
                <c:pt idx="4">
                  <c:v>96.728429781227959</c:v>
                </c:pt>
                <c:pt idx="5">
                  <c:v>111</c:v>
                </c:pt>
                <c:pt idx="6" formatCode="0.000">
                  <c:v>111</c:v>
                </c:pt>
              </c:numCache>
            </c:numRef>
          </c:val>
          <c:smooth val="0"/>
        </c:ser>
        <c:dLbls>
          <c:showLegendKey val="0"/>
          <c:showVal val="0"/>
          <c:showCatName val="0"/>
          <c:showSerName val="0"/>
          <c:showPercent val="0"/>
          <c:showBubbleSize val="0"/>
        </c:dLbls>
        <c:marker val="1"/>
        <c:smooth val="0"/>
        <c:axId val="74298496"/>
        <c:axId val="74300032"/>
      </c:lineChart>
      <c:catAx>
        <c:axId val="74286592"/>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tr-TR"/>
          </a:p>
        </c:txPr>
        <c:crossAx val="74288128"/>
        <c:crosses val="autoZero"/>
        <c:auto val="0"/>
        <c:lblAlgn val="ctr"/>
        <c:lblOffset val="100"/>
        <c:tickLblSkip val="1"/>
        <c:tickMarkSkip val="1"/>
        <c:noMultiLvlLbl val="0"/>
      </c:catAx>
      <c:valAx>
        <c:axId val="74288128"/>
        <c:scaling>
          <c:orientation val="minMax"/>
          <c:max val="900"/>
          <c:min val="300"/>
        </c:scaling>
        <c:delete val="0"/>
        <c:axPos val="l"/>
        <c:majorGridlines>
          <c:spPr>
            <a:ln w="3175">
              <a:solidFill>
                <a:srgbClr val="000000"/>
              </a:solidFill>
              <a:prstDash val="sysDash"/>
            </a:ln>
          </c:spPr>
        </c:majorGridlines>
        <c:title>
          <c:tx>
            <c:rich>
              <a:bodyPr rot="0" vert="horz"/>
              <a:lstStyle/>
              <a:p>
                <a:pPr algn="ctr">
                  <a:defRPr sz="700" b="0" i="0" u="none" strike="noStrike" baseline="0">
                    <a:solidFill>
                      <a:srgbClr val="000000"/>
                    </a:solidFill>
                    <a:latin typeface="Arial"/>
                    <a:ea typeface="Arial"/>
                    <a:cs typeface="Arial"/>
                  </a:defRPr>
                </a:pPr>
                <a:r>
                  <a:rPr lang="tr-TR" sz="700"/>
                  <a:t>billion USD</a:t>
                </a:r>
              </a:p>
            </c:rich>
          </c:tx>
          <c:layout>
            <c:manualLayout>
              <c:xMode val="edge"/>
              <c:yMode val="edge"/>
              <c:x val="1.3097576948264571E-2"/>
              <c:y val="1.8703703703703705E-2"/>
            </c:manualLayout>
          </c:layout>
          <c:overlay val="0"/>
          <c:spPr>
            <a:noFill/>
            <a:ln w="25400">
              <a:noFill/>
            </a:ln>
          </c:spPr>
        </c:title>
        <c:numFmt formatCode="0" sourceLinked="0"/>
        <c:majorTickMark val="cross"/>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tr-TR"/>
          </a:p>
        </c:txPr>
        <c:crossAx val="74286592"/>
        <c:crosses val="autoZero"/>
        <c:crossBetween val="between"/>
        <c:majorUnit val="200"/>
      </c:valAx>
      <c:catAx>
        <c:axId val="74298496"/>
        <c:scaling>
          <c:orientation val="minMax"/>
        </c:scaling>
        <c:delete val="1"/>
        <c:axPos val="b"/>
        <c:numFmt formatCode="General" sourceLinked="1"/>
        <c:majorTickMark val="out"/>
        <c:minorTickMark val="none"/>
        <c:tickLblPos val="none"/>
        <c:crossAx val="74300032"/>
        <c:crosses val="autoZero"/>
        <c:auto val="0"/>
        <c:lblAlgn val="ctr"/>
        <c:lblOffset val="100"/>
        <c:noMultiLvlLbl val="0"/>
      </c:catAx>
      <c:valAx>
        <c:axId val="74300032"/>
        <c:scaling>
          <c:orientation val="minMax"/>
          <c:min val="75"/>
        </c:scaling>
        <c:delete val="0"/>
        <c:axPos val="r"/>
        <c:title>
          <c:tx>
            <c:rich>
              <a:bodyPr rot="0" vert="horz"/>
              <a:lstStyle/>
              <a:p>
                <a:pPr algn="ctr">
                  <a:defRPr sz="700" b="0" i="0" u="none" strike="noStrike" baseline="0">
                    <a:solidFill>
                      <a:srgbClr val="000000"/>
                    </a:solidFill>
                    <a:latin typeface="Arial"/>
                    <a:ea typeface="Arial"/>
                    <a:cs typeface="Arial"/>
                  </a:defRPr>
                </a:pPr>
                <a:r>
                  <a:rPr lang="tr-TR" sz="700"/>
                  <a:t>percent</a:t>
                </a:r>
              </a:p>
            </c:rich>
          </c:tx>
          <c:layout>
            <c:manualLayout>
              <c:xMode val="edge"/>
              <c:yMode val="edge"/>
              <c:x val="0.92075965946299931"/>
              <c:y val="1.2037037037037037E-2"/>
            </c:manualLayout>
          </c:layout>
          <c:overlay val="0"/>
          <c:spPr>
            <a:noFill/>
            <a:ln w="25400">
              <a:noFill/>
            </a:ln>
          </c:spPr>
        </c:title>
        <c:numFmt formatCode="#,##0" sourceLinked="0"/>
        <c:majorTickMark val="cross"/>
        <c:minorTickMark val="none"/>
        <c:tickLblPos val="nextTo"/>
        <c:spPr>
          <a:ln w="3175">
            <a:solidFill>
              <a:srgbClr val="000000"/>
            </a:solidFill>
            <a:prstDash val="solid"/>
          </a:ln>
        </c:spPr>
        <c:txPr>
          <a:bodyPr rot="0" vert="horz"/>
          <a:lstStyle/>
          <a:p>
            <a:pPr>
              <a:defRPr sz="700" b="0" i="0" u="none" strike="noStrike" baseline="0">
                <a:solidFill>
                  <a:srgbClr val="000000"/>
                </a:solidFill>
                <a:latin typeface="Arial"/>
                <a:ea typeface="Arial"/>
                <a:cs typeface="Arial"/>
              </a:defRPr>
            </a:pPr>
            <a:endParaRPr lang="tr-TR"/>
          </a:p>
        </c:txPr>
        <c:crossAx val="74298496"/>
        <c:crosses val="max"/>
        <c:crossBetween val="between"/>
      </c:valAx>
      <c:spPr>
        <a:solidFill>
          <a:srgbClr val="FFFFFF"/>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tr-TR"/>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16522D4C7FE56341A02F819AE42E43B0" ma:contentTypeVersion="0" ma:contentTypeDescription="Yeni belge oluşturun." ma:contentTypeScope="" ma:versionID="63ddf5b260d5536c86bc350d09631d79">
  <xsd:schema xmlns:xsd="http://www.w3.org/2001/XMLSchema" xmlns:xs="http://www.w3.org/2001/XMLSchema" xmlns:p="http://schemas.microsoft.com/office/2006/metadata/properties" targetNamespace="http://schemas.microsoft.com/office/2006/metadata/properties" ma:root="true" ma:fieldsID="6239e51cfaf53027dbdf1b18e67d6b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ma:readOnly="true"/>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F4235-2737-4472-948A-42BFFCA6C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F1456CA-3786-42B4-B465-F93ECFD58A28}">
  <ds:schemaRefs>
    <ds:schemaRef ds:uri="http://schemas.microsoft.com/sharepoint/v3/contenttype/forms"/>
  </ds:schemaRefs>
</ds:datastoreItem>
</file>

<file path=customXml/itemProps3.xml><?xml version="1.0" encoding="utf-8"?>
<ds:datastoreItem xmlns:ds="http://schemas.openxmlformats.org/officeDocument/2006/customXml" ds:itemID="{835AC824-9C01-41B4-B708-E04D2A20D5D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721A2461-AC43-4C55-8A42-81E306B98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6356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Türkiye Bankacılık Sistemi ,</vt:lpstr>
    </vt:vector>
  </TitlesOfParts>
  <Company>tbb</Company>
  <LinksUpToDate>false</LinksUpToDate>
  <CharactersWithSpaces>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Türkiye Bankacılık Sistemi ,</dc:title>
  <dc:creator>Sirin Mutluturk</dc:creator>
  <cp:lastModifiedBy>Aslı Özaktan</cp:lastModifiedBy>
  <cp:revision>2</cp:revision>
  <cp:lastPrinted>2014-06-09T10:15:00Z</cp:lastPrinted>
  <dcterms:created xsi:type="dcterms:W3CDTF">2014-09-03T06:57:00Z</dcterms:created>
  <dcterms:modified xsi:type="dcterms:W3CDTF">2014-09-03T06:57:00Z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0x01010016522D4C7FE56341A02F819AE42E43B0</vt:lpwstr>
  </property>
</Properties>
</file>