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50" w:rsidRPr="003E6E70" w:rsidRDefault="00877B36">
      <w:pPr>
        <w:rPr>
          <w:rFonts w:ascii="Arial" w:hAnsi="Arial" w:cs="Arial"/>
          <w:b/>
          <w:color w:val="FF0000"/>
        </w:rPr>
      </w:pPr>
    </w:p>
    <w:p w:rsidR="00C01C1A" w:rsidRPr="003E6E70" w:rsidRDefault="00C01C1A">
      <w:pPr>
        <w:rPr>
          <w:rFonts w:ascii="Arial" w:hAnsi="Arial" w:cs="Arial"/>
          <w:b/>
          <w:color w:val="FF0000"/>
        </w:rPr>
      </w:pPr>
    </w:p>
    <w:p w:rsidR="00C01C1A" w:rsidRPr="003E6E70" w:rsidRDefault="00C01C1A">
      <w:pPr>
        <w:rPr>
          <w:rFonts w:ascii="Arial" w:hAnsi="Arial" w:cs="Arial"/>
          <w:b/>
          <w:color w:val="FF0000"/>
        </w:rPr>
      </w:pPr>
    </w:p>
    <w:p w:rsidR="00C01C1A" w:rsidRPr="002C5AE8" w:rsidRDefault="00C01C1A" w:rsidP="00C01C1A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A249FC">
        <w:rPr>
          <w:rFonts w:ascii="Arial" w:hAnsi="Arial" w:cs="Arial"/>
          <w:b/>
          <w:sz w:val="26"/>
          <w:szCs w:val="26"/>
        </w:rPr>
        <w:t>Proje Finansmanı İstatistikleri</w:t>
      </w:r>
      <w:r w:rsidRPr="002C5AE8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C01C1A" w:rsidRPr="002C5AE8" w:rsidRDefault="003E6E70" w:rsidP="00C01C1A">
      <w:pPr>
        <w:pStyle w:val="Title"/>
        <w:rPr>
          <w:rFonts w:ascii="Arial" w:hAnsi="Arial" w:cs="Arial"/>
          <w:bCs/>
          <w:szCs w:val="24"/>
        </w:rPr>
      </w:pPr>
      <w:r w:rsidRPr="002C5AE8">
        <w:rPr>
          <w:rFonts w:ascii="Arial" w:hAnsi="Arial" w:cs="Arial"/>
          <w:bCs/>
          <w:szCs w:val="24"/>
        </w:rPr>
        <w:t>Haziran 2023</w:t>
      </w:r>
    </w:p>
    <w:p w:rsidR="00C01C1A" w:rsidRPr="002C5AE8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:rsidR="00C01C1A" w:rsidRPr="002C5AE8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:rsidR="00C01C1A" w:rsidRPr="00A249FC" w:rsidRDefault="00C01C1A" w:rsidP="00C01C1A">
      <w:pPr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proje finansmanı istatistiki bilgilerini içeren bu rapor, Aralık 2014 tarihinden itibaren altı aylık dönemlerde hazırlanmaktadır. </w:t>
      </w:r>
      <w:r w:rsidR="003E6E70" w:rsidRPr="00A249FC">
        <w:rPr>
          <w:rFonts w:ascii="Arial" w:hAnsi="Arial" w:cs="Arial"/>
          <w:sz w:val="22"/>
          <w:szCs w:val="22"/>
        </w:rPr>
        <w:t>Haziran 2023</w:t>
      </w:r>
      <w:r w:rsidRPr="00A249FC">
        <w:rPr>
          <w:rFonts w:ascii="Arial" w:hAnsi="Arial" w:cs="Arial"/>
          <w:sz w:val="22"/>
          <w:szCs w:val="22"/>
        </w:rPr>
        <w:t xml:space="preserve"> dönemi itibariyle 1</w:t>
      </w:r>
      <w:r w:rsidR="003E6E70" w:rsidRPr="00A249FC">
        <w:rPr>
          <w:rFonts w:ascii="Arial" w:hAnsi="Arial" w:cs="Arial"/>
          <w:sz w:val="22"/>
          <w:szCs w:val="22"/>
        </w:rPr>
        <w:t>8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Haziran 2022’den itibaren veri tanımı ve kapsamı güncellenmiştir.</w:t>
      </w:r>
      <w:r w:rsidR="00CA79EC" w:rsidRPr="00A249FC">
        <w:rPr>
          <w:rFonts w:ascii="Arial" w:hAnsi="Arial" w:cs="Arial"/>
          <w:sz w:val="22"/>
          <w:szCs w:val="22"/>
        </w:rPr>
        <w:t xml:space="preserve"> Güncelleme kapsamında alt kırılımlar ayrıntılı hale getirilmiş ve tadil edilen sözleşmelerdeki ilave edilen taahhüt tutarları eklenmiştir. </w:t>
      </w:r>
    </w:p>
    <w:p w:rsidR="00C01C1A" w:rsidRPr="00A249FC" w:rsidRDefault="00C01C1A">
      <w:pPr>
        <w:rPr>
          <w:rFonts w:ascii="Arial" w:hAnsi="Arial" w:cs="Arial"/>
          <w:b/>
          <w:sz w:val="22"/>
          <w:szCs w:val="22"/>
        </w:rPr>
      </w:pPr>
    </w:p>
    <w:p w:rsidR="00C01C1A" w:rsidRPr="002C5AE8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2C5AE8">
        <w:rPr>
          <w:rFonts w:ascii="Arial" w:hAnsi="Arial" w:cs="Arial"/>
          <w:b/>
          <w:szCs w:val="24"/>
        </w:rPr>
        <w:t>Proje Finansmanı Kredileri</w:t>
      </w:r>
      <w:r w:rsidR="00CC75E3" w:rsidRPr="002C5AE8">
        <w:rPr>
          <w:rFonts w:ascii="Arial" w:hAnsi="Arial" w:cs="Arial"/>
          <w:b/>
          <w:szCs w:val="24"/>
        </w:rPr>
        <w:t>*</w:t>
      </w:r>
    </w:p>
    <w:p w:rsidR="00032307" w:rsidRPr="003E6E70" w:rsidRDefault="003E6E70" w:rsidP="00C01C1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5A235F41" wp14:editId="147CB996">
            <wp:extent cx="4572000" cy="2301240"/>
            <wp:effectExtent l="0" t="0" r="0" b="38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1C1A" w:rsidRPr="003E6E70" w:rsidRDefault="00C01C1A">
      <w:pPr>
        <w:rPr>
          <w:rFonts w:ascii="Arial" w:hAnsi="Arial" w:cs="Arial"/>
          <w:sz w:val="20"/>
        </w:rPr>
      </w:pPr>
    </w:p>
    <w:p w:rsidR="00C01C1A" w:rsidRPr="00A249FC" w:rsidRDefault="00C01C1A" w:rsidP="00C03D46">
      <w:pPr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Proje finansmanı kredileri risk bakiyesi </w:t>
      </w:r>
      <w:r w:rsidR="003E6E70" w:rsidRPr="00A249FC">
        <w:rPr>
          <w:rFonts w:ascii="Arial" w:hAnsi="Arial" w:cs="Arial"/>
          <w:sz w:val="22"/>
          <w:szCs w:val="22"/>
        </w:rPr>
        <w:t>Haziran 2023</w:t>
      </w:r>
      <w:r w:rsidRPr="00A249FC">
        <w:rPr>
          <w:rFonts w:ascii="Arial" w:hAnsi="Arial" w:cs="Arial"/>
          <w:sz w:val="22"/>
          <w:szCs w:val="22"/>
        </w:rPr>
        <w:t xml:space="preserve"> dönemi itibariyle </w:t>
      </w:r>
      <w:r w:rsidR="006576EB" w:rsidRPr="00A249FC">
        <w:rPr>
          <w:rFonts w:ascii="Arial" w:hAnsi="Arial" w:cs="Arial"/>
          <w:sz w:val="22"/>
          <w:szCs w:val="22"/>
        </w:rPr>
        <w:t xml:space="preserve">1.411 </w:t>
      </w:r>
      <w:r w:rsidR="001C0104" w:rsidRPr="00A249FC">
        <w:rPr>
          <w:rFonts w:ascii="Arial" w:hAnsi="Arial" w:cs="Arial"/>
          <w:sz w:val="22"/>
          <w:szCs w:val="22"/>
        </w:rPr>
        <w:t xml:space="preserve">milyar TL olmuştur. Bunun </w:t>
      </w:r>
      <w:r w:rsidR="003E6E70" w:rsidRPr="00A249FC">
        <w:rPr>
          <w:rFonts w:ascii="Arial" w:hAnsi="Arial" w:cs="Arial"/>
          <w:sz w:val="22"/>
          <w:szCs w:val="22"/>
        </w:rPr>
        <w:t>1.284 milyar TL’si nakdi, 126</w:t>
      </w:r>
      <w:r w:rsidRPr="00A249FC">
        <w:rPr>
          <w:rFonts w:ascii="Arial" w:hAnsi="Arial" w:cs="Arial"/>
          <w:sz w:val="22"/>
          <w:szCs w:val="22"/>
        </w:rPr>
        <w:t xml:space="preserve"> milyar TL’si gayrinakdi kredi </w:t>
      </w:r>
      <w:r w:rsidR="00442468" w:rsidRPr="00A249FC">
        <w:rPr>
          <w:rFonts w:ascii="Arial" w:hAnsi="Arial" w:cs="Arial"/>
          <w:sz w:val="22"/>
          <w:szCs w:val="22"/>
        </w:rPr>
        <w:t>olarak</w:t>
      </w:r>
      <w:r w:rsidRPr="00A249FC">
        <w:rPr>
          <w:rFonts w:ascii="Arial" w:hAnsi="Arial" w:cs="Arial"/>
          <w:sz w:val="22"/>
          <w:szCs w:val="22"/>
        </w:rPr>
        <w:t xml:space="preserve"> kullandırılmıştır.</w:t>
      </w:r>
    </w:p>
    <w:p w:rsidR="00C01C1A" w:rsidRPr="003E6E70" w:rsidRDefault="00C01C1A" w:rsidP="00C01C1A">
      <w:pPr>
        <w:rPr>
          <w:rFonts w:ascii="Arial" w:hAnsi="Arial" w:cs="Arial"/>
          <w:szCs w:val="24"/>
        </w:rPr>
      </w:pPr>
    </w:p>
    <w:p w:rsidR="00C01C1A" w:rsidRPr="003E6E70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3E6E70">
        <w:rPr>
          <w:rFonts w:ascii="Arial" w:hAnsi="Arial" w:cs="Arial"/>
          <w:b/>
          <w:szCs w:val="24"/>
        </w:rPr>
        <w:t>Proje Finansmanı Kredileri Dağılımı (milyar TL)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00"/>
        <w:gridCol w:w="1296"/>
        <w:gridCol w:w="1464"/>
        <w:gridCol w:w="1180"/>
      </w:tblGrid>
      <w:tr w:rsidR="003E6E70" w:rsidRPr="003E6E70" w:rsidTr="003E6E70">
        <w:trPr>
          <w:trHeight w:val="54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> (Milyar TL)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>Aralık 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03597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Pay (yüzde)</w:t>
            </w:r>
          </w:p>
        </w:tc>
      </w:tr>
      <w:tr w:rsidR="003E6E70" w:rsidRPr="003E6E70" w:rsidTr="003E6E70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1.045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1.411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</w:tr>
      <w:tr w:rsidR="003E6E70" w:rsidRPr="003E6E70" w:rsidTr="003E6E70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966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1.284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91</w:t>
            </w:r>
          </w:p>
        </w:tc>
      </w:tr>
      <w:tr w:rsidR="003E6E70" w:rsidRPr="003E6E70" w:rsidTr="003E6E70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sz w:val="20"/>
              </w:rPr>
            </w:pPr>
            <w:r w:rsidRPr="003E6E70">
              <w:rPr>
                <w:rFonts w:ascii="Arial" w:hAnsi="Arial" w:cs="Arial"/>
                <w:sz w:val="20"/>
              </w:rPr>
              <w:t>9</w:t>
            </w:r>
          </w:p>
        </w:tc>
      </w:tr>
      <w:tr w:rsidR="003E6E70" w:rsidRPr="003E6E70" w:rsidTr="003E6E70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E6E70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1.581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2.121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6E70" w:rsidRPr="003E6E70" w:rsidRDefault="003E6E70" w:rsidP="003E6E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E6E70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</w:tbl>
    <w:p w:rsidR="00C01C1A" w:rsidRPr="003E6E70" w:rsidRDefault="00C01C1A" w:rsidP="00C01C1A">
      <w:pPr>
        <w:rPr>
          <w:rFonts w:ascii="Arial" w:hAnsi="Arial" w:cs="Arial"/>
          <w:sz w:val="20"/>
        </w:rPr>
      </w:pPr>
    </w:p>
    <w:p w:rsidR="002C5AE8" w:rsidRDefault="002C5AE8" w:rsidP="002C5AE8">
      <w:pPr>
        <w:jc w:val="both"/>
        <w:rPr>
          <w:rFonts w:ascii="Arial" w:hAnsi="Arial" w:cs="Arial"/>
          <w:szCs w:val="24"/>
        </w:rPr>
      </w:pPr>
    </w:p>
    <w:p w:rsidR="002C5AE8" w:rsidRPr="00A249FC" w:rsidRDefault="002C5AE8" w:rsidP="002C5AE8">
      <w:pPr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>Toplam taahhüt miktarı ise 2.121 milyar TL (82 milyar dolar) olarak gerçekleşmiştir.</w:t>
      </w:r>
    </w:p>
    <w:p w:rsidR="00032307" w:rsidRDefault="00032307" w:rsidP="00C01C1A">
      <w:pPr>
        <w:rPr>
          <w:rFonts w:ascii="Arial" w:hAnsi="Arial" w:cs="Arial"/>
          <w:sz w:val="22"/>
          <w:szCs w:val="22"/>
        </w:rPr>
      </w:pPr>
    </w:p>
    <w:p w:rsidR="00A249FC" w:rsidRDefault="00A249FC" w:rsidP="00C01C1A">
      <w:pPr>
        <w:rPr>
          <w:rFonts w:ascii="Arial" w:hAnsi="Arial" w:cs="Arial"/>
          <w:sz w:val="22"/>
          <w:szCs w:val="22"/>
        </w:rPr>
      </w:pPr>
    </w:p>
    <w:p w:rsidR="00A249FC" w:rsidRPr="00A249FC" w:rsidRDefault="00A249FC" w:rsidP="00C01C1A">
      <w:pPr>
        <w:rPr>
          <w:rFonts w:ascii="Arial" w:hAnsi="Arial" w:cs="Arial"/>
          <w:sz w:val="22"/>
          <w:szCs w:val="22"/>
        </w:rPr>
      </w:pPr>
    </w:p>
    <w:p w:rsidR="00C01C1A" w:rsidRPr="00A249FC" w:rsidRDefault="00C01C1A" w:rsidP="00C01C1A">
      <w:pPr>
        <w:rPr>
          <w:rFonts w:ascii="Arial" w:hAnsi="Arial" w:cs="Arial"/>
          <w:color w:val="FF0000"/>
          <w:sz w:val="22"/>
          <w:szCs w:val="22"/>
        </w:rPr>
      </w:pPr>
    </w:p>
    <w:p w:rsidR="00032307" w:rsidRPr="000124D1" w:rsidRDefault="00032307" w:rsidP="00C01C1A">
      <w:pPr>
        <w:rPr>
          <w:rFonts w:ascii="Arial" w:hAnsi="Arial" w:cs="Arial"/>
          <w:szCs w:val="24"/>
        </w:rPr>
      </w:pPr>
    </w:p>
    <w:p w:rsidR="002C5AE8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0124D1">
        <w:rPr>
          <w:rFonts w:ascii="Arial" w:hAnsi="Arial" w:cs="Arial"/>
          <w:b/>
          <w:szCs w:val="24"/>
        </w:rPr>
        <w:t xml:space="preserve">Proje Finansmanı </w:t>
      </w:r>
      <w:r w:rsidR="002C5AE8" w:rsidRPr="0020034F">
        <w:rPr>
          <w:rFonts w:ascii="Arial" w:hAnsi="Arial" w:cs="Arial"/>
          <w:b/>
          <w:szCs w:val="24"/>
        </w:rPr>
        <w:t xml:space="preserve">Nakdi Krediler </w:t>
      </w:r>
      <w:r w:rsidRPr="000124D1">
        <w:rPr>
          <w:rFonts w:ascii="Arial" w:hAnsi="Arial" w:cs="Arial"/>
          <w:b/>
          <w:szCs w:val="24"/>
        </w:rPr>
        <w:t>Sektörel Dağılım</w:t>
      </w:r>
    </w:p>
    <w:p w:rsidR="00C01C1A" w:rsidRPr="000124D1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0124D1">
        <w:rPr>
          <w:rFonts w:ascii="Arial" w:hAnsi="Arial" w:cs="Arial"/>
          <w:b/>
          <w:szCs w:val="24"/>
        </w:rPr>
        <w:t>(</w:t>
      </w:r>
      <w:r w:rsidR="003E6E70" w:rsidRPr="000124D1">
        <w:rPr>
          <w:rFonts w:ascii="Arial" w:hAnsi="Arial" w:cs="Arial"/>
          <w:b/>
          <w:szCs w:val="24"/>
        </w:rPr>
        <w:t>Haziran</w:t>
      </w:r>
      <w:r w:rsidRPr="000124D1">
        <w:rPr>
          <w:rFonts w:ascii="Arial" w:hAnsi="Arial" w:cs="Arial"/>
          <w:b/>
          <w:szCs w:val="24"/>
        </w:rPr>
        <w:t xml:space="preserve"> 202</w:t>
      </w:r>
      <w:r w:rsidR="003E6E70" w:rsidRPr="000124D1">
        <w:rPr>
          <w:rFonts w:ascii="Arial" w:hAnsi="Arial" w:cs="Arial"/>
          <w:b/>
          <w:szCs w:val="24"/>
        </w:rPr>
        <w:t>3</w:t>
      </w:r>
      <w:r w:rsidRPr="000124D1">
        <w:rPr>
          <w:rFonts w:ascii="Arial" w:hAnsi="Arial" w:cs="Arial"/>
          <w:b/>
          <w:szCs w:val="24"/>
        </w:rPr>
        <w:t>, milyar TL, yüzde)</w:t>
      </w:r>
    </w:p>
    <w:p w:rsidR="00C01C1A" w:rsidRDefault="00C01C1A" w:rsidP="00C01C1A">
      <w:pPr>
        <w:tabs>
          <w:tab w:val="left" w:pos="1632"/>
        </w:tabs>
        <w:jc w:val="center"/>
        <w:rPr>
          <w:rFonts w:ascii="Arial" w:hAnsi="Arial" w:cs="Arial"/>
          <w:color w:val="FF0000"/>
          <w:szCs w:val="24"/>
        </w:rPr>
      </w:pPr>
    </w:p>
    <w:p w:rsidR="009D6D78" w:rsidRDefault="009D6D78" w:rsidP="00C01C1A">
      <w:pPr>
        <w:tabs>
          <w:tab w:val="left" w:pos="1632"/>
        </w:tabs>
        <w:jc w:val="center"/>
        <w:rPr>
          <w:rFonts w:ascii="Arial" w:hAnsi="Arial" w:cs="Arial"/>
          <w:color w:val="FF0000"/>
          <w:szCs w:val="24"/>
        </w:rPr>
      </w:pPr>
      <w:r>
        <w:rPr>
          <w:noProof/>
          <w:lang w:val="en-US" w:eastAsia="ko-KR"/>
        </w:rPr>
        <w:drawing>
          <wp:inline distT="0" distB="0" distL="0" distR="0" wp14:anchorId="1C18F2BE" wp14:editId="4D982CDD">
            <wp:extent cx="4564380" cy="2533650"/>
            <wp:effectExtent l="0" t="0" r="76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6D78" w:rsidRDefault="009D6D78" w:rsidP="00C01C1A">
      <w:pPr>
        <w:tabs>
          <w:tab w:val="left" w:pos="1632"/>
        </w:tabs>
        <w:jc w:val="center"/>
        <w:rPr>
          <w:rFonts w:ascii="Arial" w:hAnsi="Arial" w:cs="Arial"/>
          <w:color w:val="FF0000"/>
          <w:szCs w:val="24"/>
        </w:rPr>
      </w:pPr>
    </w:p>
    <w:p w:rsidR="009D6D78" w:rsidRPr="003E6E70" w:rsidRDefault="009D6D78" w:rsidP="00C01C1A">
      <w:pPr>
        <w:tabs>
          <w:tab w:val="left" w:pos="1632"/>
        </w:tabs>
        <w:jc w:val="center"/>
        <w:rPr>
          <w:rFonts w:ascii="Arial" w:hAnsi="Arial" w:cs="Arial"/>
          <w:color w:val="FF0000"/>
          <w:szCs w:val="24"/>
        </w:rPr>
      </w:pPr>
    </w:p>
    <w:p w:rsidR="00BE6273" w:rsidRPr="00A249FC" w:rsidRDefault="00442468" w:rsidP="00BE6273">
      <w:pPr>
        <w:tabs>
          <w:tab w:val="left" w:pos="972"/>
        </w:tabs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>E</w:t>
      </w:r>
      <w:r w:rsidR="00BE6273" w:rsidRPr="00A249FC">
        <w:rPr>
          <w:rFonts w:ascii="Arial" w:hAnsi="Arial" w:cs="Arial"/>
          <w:sz w:val="22"/>
          <w:szCs w:val="22"/>
        </w:rPr>
        <w:t xml:space="preserve">nerji sektöründe risk bakiyesi </w:t>
      </w:r>
      <w:r w:rsidR="00DC1433" w:rsidRPr="00A249FC">
        <w:rPr>
          <w:rFonts w:ascii="Arial" w:hAnsi="Arial" w:cs="Arial"/>
          <w:sz w:val="22"/>
          <w:szCs w:val="22"/>
        </w:rPr>
        <w:t>1</w:t>
      </w:r>
      <w:r w:rsidR="00CF2447" w:rsidRPr="00A249FC">
        <w:rPr>
          <w:rFonts w:ascii="Arial" w:hAnsi="Arial" w:cs="Arial"/>
          <w:sz w:val="22"/>
          <w:szCs w:val="22"/>
        </w:rPr>
        <w:t>8</w:t>
      </w:r>
      <w:r w:rsidR="00BE6273" w:rsidRPr="00A249FC">
        <w:rPr>
          <w:rFonts w:ascii="Arial" w:hAnsi="Arial" w:cs="Arial"/>
          <w:sz w:val="22"/>
          <w:szCs w:val="22"/>
        </w:rPr>
        <w:t xml:space="preserve"> milyar dolar olmuştur. Aynı dönem itibariyle</w:t>
      </w:r>
      <w:r w:rsidRPr="00A249FC">
        <w:rPr>
          <w:rFonts w:ascii="Arial" w:hAnsi="Arial" w:cs="Arial"/>
          <w:sz w:val="22"/>
          <w:szCs w:val="22"/>
        </w:rPr>
        <w:t>,</w:t>
      </w:r>
      <w:r w:rsidR="00BE6273" w:rsidRPr="00A249FC">
        <w:rPr>
          <w:rFonts w:ascii="Arial" w:hAnsi="Arial" w:cs="Arial"/>
          <w:sz w:val="22"/>
          <w:szCs w:val="22"/>
        </w:rPr>
        <w:t xml:space="preserve"> </w:t>
      </w:r>
      <w:r w:rsidR="00DC1433" w:rsidRPr="00A249FC">
        <w:rPr>
          <w:rFonts w:ascii="Arial" w:hAnsi="Arial" w:cs="Arial"/>
          <w:sz w:val="22"/>
          <w:szCs w:val="22"/>
        </w:rPr>
        <w:t>risk bakiyesi, altyapıda 19</w:t>
      </w:r>
      <w:r w:rsidR="00BE6273" w:rsidRPr="00A249FC">
        <w:rPr>
          <w:rFonts w:ascii="Arial" w:hAnsi="Arial" w:cs="Arial"/>
          <w:sz w:val="22"/>
          <w:szCs w:val="22"/>
        </w:rPr>
        <w:t xml:space="preserve"> milyar d</w:t>
      </w:r>
      <w:r w:rsidR="00DC1433" w:rsidRPr="00A249FC">
        <w:rPr>
          <w:rFonts w:ascii="Arial" w:hAnsi="Arial" w:cs="Arial"/>
          <w:sz w:val="22"/>
          <w:szCs w:val="22"/>
        </w:rPr>
        <w:t xml:space="preserve">olar, </w:t>
      </w:r>
      <w:r w:rsidR="00CF2447" w:rsidRPr="00A249FC">
        <w:rPr>
          <w:rFonts w:ascii="Arial" w:hAnsi="Arial" w:cs="Arial"/>
          <w:sz w:val="22"/>
          <w:szCs w:val="22"/>
        </w:rPr>
        <w:t xml:space="preserve">ticari </w:t>
      </w:r>
      <w:r w:rsidR="00DC1433" w:rsidRPr="00A249FC">
        <w:rPr>
          <w:rFonts w:ascii="Arial" w:hAnsi="Arial" w:cs="Arial"/>
          <w:sz w:val="22"/>
          <w:szCs w:val="22"/>
        </w:rPr>
        <w:t>gayrimenkul sektöründe 6</w:t>
      </w:r>
      <w:r w:rsidR="00BE6273" w:rsidRPr="00A249FC">
        <w:rPr>
          <w:rFonts w:ascii="Arial" w:hAnsi="Arial" w:cs="Arial"/>
          <w:sz w:val="22"/>
          <w:szCs w:val="22"/>
        </w:rPr>
        <w:t xml:space="preserve"> milyar dolar ve diğer sektörlerde </w:t>
      </w:r>
      <w:r w:rsidR="00CF2447" w:rsidRPr="00A249FC">
        <w:rPr>
          <w:rFonts w:ascii="Arial" w:hAnsi="Arial" w:cs="Arial"/>
          <w:sz w:val="22"/>
          <w:szCs w:val="22"/>
        </w:rPr>
        <w:t>7</w:t>
      </w:r>
      <w:r w:rsidR="00BE6273" w:rsidRPr="00A249FC">
        <w:rPr>
          <w:rFonts w:ascii="Arial" w:hAnsi="Arial" w:cs="Arial"/>
          <w:sz w:val="22"/>
          <w:szCs w:val="22"/>
        </w:rPr>
        <w:t xml:space="preserve"> milyar dolardır. </w:t>
      </w:r>
    </w:p>
    <w:p w:rsidR="000D049A" w:rsidRPr="00A249FC" w:rsidRDefault="000D049A" w:rsidP="007C1FFD">
      <w:pPr>
        <w:rPr>
          <w:rFonts w:ascii="Arial" w:hAnsi="Arial" w:cs="Arial"/>
          <w:sz w:val="22"/>
          <w:szCs w:val="22"/>
        </w:rPr>
      </w:pPr>
    </w:p>
    <w:p w:rsidR="007C1FFD" w:rsidRPr="00CF2447" w:rsidRDefault="000D049A" w:rsidP="000D049A">
      <w:pPr>
        <w:jc w:val="center"/>
        <w:rPr>
          <w:rFonts w:ascii="Arial" w:hAnsi="Arial" w:cs="Arial"/>
          <w:b/>
          <w:szCs w:val="24"/>
        </w:rPr>
      </w:pPr>
      <w:r w:rsidRPr="00CF2447">
        <w:rPr>
          <w:rFonts w:ascii="Arial" w:hAnsi="Arial" w:cs="Arial"/>
          <w:b/>
          <w:szCs w:val="24"/>
        </w:rPr>
        <w:t>Proje Finansman Kredileri Sektörel Dağılım</w:t>
      </w:r>
      <w:r w:rsidR="000124D1">
        <w:rPr>
          <w:rFonts w:ascii="Arial" w:hAnsi="Arial" w:cs="Arial"/>
          <w:b/>
          <w:szCs w:val="24"/>
        </w:rPr>
        <w:t xml:space="preserve"> (milyar TL)</w:t>
      </w:r>
    </w:p>
    <w:p w:rsidR="00B3626F" w:rsidRPr="00CF2447" w:rsidRDefault="00B3626F" w:rsidP="000D049A">
      <w:pPr>
        <w:jc w:val="center"/>
        <w:rPr>
          <w:rFonts w:ascii="Arial" w:hAnsi="Arial" w:cs="Arial"/>
          <w:b/>
          <w:szCs w:val="24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300"/>
        <w:gridCol w:w="1393"/>
        <w:gridCol w:w="2126"/>
      </w:tblGrid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 (Milyar dolar)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Aralık 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Haziran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5979" w:rsidRPr="00CF2447" w:rsidRDefault="00035979" w:rsidP="0003597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-4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Enerji Kredileri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-5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Cs/>
                <w:sz w:val="20"/>
                <w:lang w:eastAsia="tr-TR"/>
              </w:rPr>
              <w:t>Enerji Üretimi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-5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ind w:firstLineChars="400" w:firstLine="8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Cs/>
                <w:sz w:val="20"/>
                <w:lang w:eastAsia="tr-TR"/>
              </w:rPr>
              <w:t>Yenilenebilir Enerji (bilgi için)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-5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Cs/>
                <w:sz w:val="20"/>
                <w:lang w:eastAsia="tr-TR"/>
              </w:rPr>
              <w:t xml:space="preserve">Üretim Dışı Enerji Faaliyetleri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-8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Altyapı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-1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Cs/>
                <w:sz w:val="20"/>
                <w:lang w:eastAsia="tr-TR"/>
              </w:rPr>
              <w:t>Ulaştırma Projeleri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bCs/>
                <w:sz w:val="20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17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Cs/>
                <w:sz w:val="20"/>
                <w:lang w:eastAsia="tr-TR"/>
              </w:rPr>
              <w:t>Diğer Altyapı Kredileri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sz w:val="20"/>
              </w:rPr>
            </w:pPr>
            <w:r w:rsidRPr="00CF2447">
              <w:rPr>
                <w:rFonts w:ascii="Arial" w:hAnsi="Arial" w:cs="Arial"/>
                <w:sz w:val="20"/>
              </w:rPr>
              <w:t>-53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Ticari Gayrimenkul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-7</w:t>
            </w:r>
          </w:p>
        </w:tc>
      </w:tr>
      <w:tr w:rsidR="00CF2447" w:rsidRPr="00CF2447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79" w:rsidRPr="00CF2447" w:rsidRDefault="00035979" w:rsidP="0003597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F2447">
              <w:rPr>
                <w:rFonts w:ascii="Arial" w:hAnsi="Arial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35979" w:rsidRPr="00CF2447" w:rsidRDefault="00035979" w:rsidP="0003597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F2447">
              <w:rPr>
                <w:rFonts w:ascii="Arial" w:hAnsi="Arial" w:cs="Arial"/>
                <w:b/>
                <w:bCs/>
                <w:sz w:val="20"/>
              </w:rPr>
              <w:t>-8</w:t>
            </w:r>
          </w:p>
        </w:tc>
      </w:tr>
    </w:tbl>
    <w:p w:rsidR="00B3626F" w:rsidRPr="003E6E70" w:rsidRDefault="00B3626F" w:rsidP="000D049A">
      <w:pPr>
        <w:jc w:val="center"/>
        <w:rPr>
          <w:rFonts w:ascii="Arial" w:hAnsi="Arial" w:cs="Arial"/>
          <w:b/>
          <w:color w:val="FF0000"/>
          <w:szCs w:val="24"/>
        </w:rPr>
      </w:pPr>
    </w:p>
    <w:p w:rsidR="0068354D" w:rsidRPr="00A249FC" w:rsidRDefault="0068354D" w:rsidP="0068354D">
      <w:pPr>
        <w:tabs>
          <w:tab w:val="left" w:pos="1944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>Proj</w:t>
      </w:r>
      <w:r w:rsidR="00CF2447" w:rsidRPr="00A249FC">
        <w:rPr>
          <w:rFonts w:ascii="Arial" w:hAnsi="Arial" w:cs="Arial"/>
          <w:sz w:val="22"/>
          <w:szCs w:val="22"/>
        </w:rPr>
        <w:t>e finansmanı kredilerin yüzde 38’i altyapı, yüzde 36’sı en</w:t>
      </w:r>
      <w:bookmarkStart w:id="0" w:name="_GoBack"/>
      <w:r w:rsidR="00CF2447" w:rsidRPr="00A249FC">
        <w:rPr>
          <w:rFonts w:ascii="Arial" w:hAnsi="Arial" w:cs="Arial"/>
          <w:sz w:val="22"/>
          <w:szCs w:val="22"/>
        </w:rPr>
        <w:t xml:space="preserve">erji, </w:t>
      </w:r>
      <w:r w:rsidRPr="00A249FC">
        <w:rPr>
          <w:rFonts w:ascii="Arial" w:hAnsi="Arial" w:cs="Arial"/>
          <w:sz w:val="22"/>
          <w:szCs w:val="22"/>
        </w:rPr>
        <w:t xml:space="preserve">yüzde 11’i </w:t>
      </w:r>
      <w:r w:rsidR="00CF2447" w:rsidRPr="00A249FC">
        <w:rPr>
          <w:rFonts w:ascii="Arial" w:hAnsi="Arial" w:cs="Arial"/>
          <w:sz w:val="22"/>
          <w:szCs w:val="22"/>
        </w:rPr>
        <w:t xml:space="preserve">ticari </w:t>
      </w:r>
      <w:r w:rsidRPr="00A249FC">
        <w:rPr>
          <w:rFonts w:ascii="Arial" w:hAnsi="Arial" w:cs="Arial"/>
          <w:sz w:val="22"/>
          <w:szCs w:val="22"/>
        </w:rPr>
        <w:t xml:space="preserve">gayrimenkul sektörüne kullandırılmıştır. Diğer sektörlerin toplam </w:t>
      </w:r>
      <w:bookmarkEnd w:id="0"/>
      <w:r w:rsidRPr="00A249FC">
        <w:rPr>
          <w:rFonts w:ascii="Arial" w:hAnsi="Arial" w:cs="Arial"/>
          <w:sz w:val="22"/>
          <w:szCs w:val="22"/>
        </w:rPr>
        <w:t>içindeki payı yüzde 15’tir. Yenilenebilir enerjinin toplam proje</w:t>
      </w:r>
      <w:r w:rsidR="000124D1" w:rsidRPr="00A249FC">
        <w:rPr>
          <w:rFonts w:ascii="Arial" w:hAnsi="Arial" w:cs="Arial"/>
          <w:sz w:val="22"/>
          <w:szCs w:val="22"/>
        </w:rPr>
        <w:t xml:space="preserve"> kredileri içindeki payı yüzde </w:t>
      </w:r>
      <w:r w:rsidRPr="00A249FC">
        <w:rPr>
          <w:rFonts w:ascii="Arial" w:hAnsi="Arial" w:cs="Arial"/>
          <w:sz w:val="22"/>
          <w:szCs w:val="22"/>
        </w:rPr>
        <w:t xml:space="preserve">9’dur. Yenilenebilir enerjinin, enerji kredileri içindeki payı ise yüzde </w:t>
      </w:r>
      <w:r w:rsidR="000124D1" w:rsidRPr="00A249FC">
        <w:rPr>
          <w:rFonts w:ascii="Arial" w:hAnsi="Arial" w:cs="Arial"/>
          <w:sz w:val="22"/>
          <w:szCs w:val="22"/>
        </w:rPr>
        <w:t>53’tür</w:t>
      </w:r>
      <w:r w:rsidRPr="00A249FC">
        <w:rPr>
          <w:rFonts w:ascii="Arial" w:hAnsi="Arial" w:cs="Arial"/>
          <w:sz w:val="22"/>
          <w:szCs w:val="22"/>
        </w:rPr>
        <w:t>.</w:t>
      </w:r>
      <w:r w:rsidRPr="00A249FC">
        <w:rPr>
          <w:rFonts w:ascii="Arial" w:hAnsi="Arial" w:cs="Arial"/>
          <w:b/>
          <w:sz w:val="22"/>
          <w:szCs w:val="22"/>
        </w:rPr>
        <w:t xml:space="preserve"> </w:t>
      </w:r>
    </w:p>
    <w:p w:rsidR="00B3626F" w:rsidRPr="00A249FC" w:rsidRDefault="00B3626F" w:rsidP="0068354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3626F" w:rsidRPr="003E6E70" w:rsidRDefault="00B3626F" w:rsidP="000D049A">
      <w:pPr>
        <w:jc w:val="center"/>
        <w:rPr>
          <w:rFonts w:ascii="Arial" w:hAnsi="Arial" w:cs="Arial"/>
          <w:b/>
          <w:color w:val="FF0000"/>
          <w:szCs w:val="24"/>
        </w:rPr>
      </w:pPr>
    </w:p>
    <w:p w:rsidR="00BE6273" w:rsidRPr="003E6E70" w:rsidRDefault="007C1FFD" w:rsidP="007C1FFD">
      <w:pPr>
        <w:rPr>
          <w:rFonts w:ascii="Arial" w:hAnsi="Arial" w:cs="Arial"/>
          <w:color w:val="FF0000"/>
          <w:szCs w:val="24"/>
        </w:rPr>
      </w:pPr>
      <w:r w:rsidRPr="003E6E70">
        <w:rPr>
          <w:rFonts w:ascii="Arial" w:hAnsi="Arial" w:cs="Arial"/>
          <w:color w:val="FF0000"/>
          <w:szCs w:val="24"/>
        </w:rPr>
        <w:tab/>
      </w:r>
      <w:r w:rsidRPr="003E6E70">
        <w:rPr>
          <w:rFonts w:ascii="Arial" w:hAnsi="Arial" w:cs="Arial"/>
          <w:color w:val="FF0000"/>
          <w:szCs w:val="24"/>
        </w:rPr>
        <w:tab/>
      </w:r>
    </w:p>
    <w:sectPr w:rsidR="00BE6273" w:rsidRPr="003E6E70" w:rsidSect="007D4643">
      <w:headerReference w:type="default" r:id="rId9"/>
      <w:footerReference w:type="default" r:id="rId10"/>
      <w:footerReference w:type="first" r:id="rId11"/>
      <w:pgSz w:w="12240" w:h="15840"/>
      <w:pgMar w:top="1417" w:right="1417" w:bottom="15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22" w:rsidRDefault="00F52022" w:rsidP="00C01C1A">
      <w:r>
        <w:separator/>
      </w:r>
    </w:p>
  </w:endnote>
  <w:endnote w:type="continuationSeparator" w:id="0">
    <w:p w:rsidR="00F52022" w:rsidRDefault="00F52022" w:rsidP="00C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324271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>TBB / İstatistiki Raporlar / Proje Finansmanı İstatistikleri / Haziran 2023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                                                                        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 w:rsidR="000D049A" w:rsidRPr="00A249FC">
          <w:rPr>
            <w:rFonts w:ascii="Arial" w:hAnsi="Arial" w:cs="Arial"/>
            <w:sz w:val="18"/>
            <w:szCs w:val="18"/>
          </w:rPr>
          <w:t>ii</w:t>
        </w:r>
      </w:p>
    </w:sdtContent>
  </w:sdt>
  <w:p w:rsidR="00C01C1A" w:rsidRPr="00C01C1A" w:rsidRDefault="00C01C1A" w:rsidP="00C0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17723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Haziran 2023                                                                         </w:t>
        </w:r>
        <w:r w:rsidR="000D049A" w:rsidRPr="00A249FC">
          <w:rPr>
            <w:rFonts w:ascii="Arial" w:hAnsi="Arial" w:cs="Arial"/>
            <w:sz w:val="18"/>
            <w:szCs w:val="18"/>
          </w:rPr>
          <w:t>i</w:t>
        </w:r>
      </w:p>
    </w:sdtContent>
  </w:sdt>
  <w:p w:rsidR="000D049A" w:rsidRDefault="000D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22" w:rsidRDefault="00F52022" w:rsidP="00C01C1A">
      <w:r>
        <w:separator/>
      </w:r>
    </w:p>
  </w:footnote>
  <w:footnote w:type="continuationSeparator" w:id="0">
    <w:p w:rsidR="00F52022" w:rsidRDefault="00F52022" w:rsidP="00C01C1A">
      <w:r>
        <w:continuationSeparator/>
      </w:r>
    </w:p>
  </w:footnote>
  <w:footnote w:id="1">
    <w:p w:rsidR="00C01C1A" w:rsidRPr="00A42FC0" w:rsidRDefault="00C01C1A" w:rsidP="00C01C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1A" w:rsidRDefault="00C01C1A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1C1B1FA4" wp14:editId="57998C7D">
          <wp:simplePos x="0" y="0"/>
          <wp:positionH relativeFrom="page">
            <wp:posOffset>6461760</wp:posOffset>
          </wp:positionH>
          <wp:positionV relativeFrom="page">
            <wp:posOffset>320040</wp:posOffset>
          </wp:positionV>
          <wp:extent cx="1012190" cy="998220"/>
          <wp:effectExtent l="0" t="0" r="0" b="0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5"/>
    <w:rsid w:val="000124D1"/>
    <w:rsid w:val="00032307"/>
    <w:rsid w:val="00035979"/>
    <w:rsid w:val="0009062E"/>
    <w:rsid w:val="000D049A"/>
    <w:rsid w:val="000D4AF0"/>
    <w:rsid w:val="001C0104"/>
    <w:rsid w:val="0020034F"/>
    <w:rsid w:val="00217567"/>
    <w:rsid w:val="002C5AE8"/>
    <w:rsid w:val="002E2695"/>
    <w:rsid w:val="00315D1B"/>
    <w:rsid w:val="0036276B"/>
    <w:rsid w:val="003C3773"/>
    <w:rsid w:val="003E6E70"/>
    <w:rsid w:val="00442468"/>
    <w:rsid w:val="004E7276"/>
    <w:rsid w:val="005324B6"/>
    <w:rsid w:val="006576EB"/>
    <w:rsid w:val="0068354D"/>
    <w:rsid w:val="006D4A21"/>
    <w:rsid w:val="00754102"/>
    <w:rsid w:val="00793663"/>
    <w:rsid w:val="007C1FFD"/>
    <w:rsid w:val="007D4643"/>
    <w:rsid w:val="008749ED"/>
    <w:rsid w:val="00877B36"/>
    <w:rsid w:val="008C4365"/>
    <w:rsid w:val="0093088C"/>
    <w:rsid w:val="00944086"/>
    <w:rsid w:val="009B27EE"/>
    <w:rsid w:val="009D6D78"/>
    <w:rsid w:val="009E4456"/>
    <w:rsid w:val="00A249FC"/>
    <w:rsid w:val="00A756EE"/>
    <w:rsid w:val="00AC5926"/>
    <w:rsid w:val="00B3626F"/>
    <w:rsid w:val="00BE6273"/>
    <w:rsid w:val="00C01C1A"/>
    <w:rsid w:val="00C03D46"/>
    <w:rsid w:val="00C8593F"/>
    <w:rsid w:val="00CA79EC"/>
    <w:rsid w:val="00CB1029"/>
    <w:rsid w:val="00CB4D3E"/>
    <w:rsid w:val="00CC75E3"/>
    <w:rsid w:val="00CF2447"/>
    <w:rsid w:val="00CF53EE"/>
    <w:rsid w:val="00DC1433"/>
    <w:rsid w:val="00E1379E"/>
    <w:rsid w:val="00E45664"/>
    <w:rsid w:val="00E673ED"/>
    <w:rsid w:val="00F32369"/>
    <w:rsid w:val="00F52022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334583-B00F-43B7-9596-F47A806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1A"/>
  </w:style>
  <w:style w:type="paragraph" w:styleId="Footer">
    <w:name w:val="footer"/>
    <w:basedOn w:val="Normal"/>
    <w:link w:val="Foot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1A"/>
  </w:style>
  <w:style w:type="paragraph" w:styleId="BodyText">
    <w:name w:val="Body Text"/>
    <w:basedOn w:val="Normal"/>
    <w:link w:val="BodyTextChar"/>
    <w:rsid w:val="00C01C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C01C1A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Title">
    <w:name w:val="Title"/>
    <w:basedOn w:val="Normal"/>
    <w:link w:val="TitleChar"/>
    <w:qFormat/>
    <w:rsid w:val="00C01C1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01C1A"/>
    <w:rPr>
      <w:rFonts w:ascii="Times New Roman" w:eastAsia="Times New Roman" w:hAnsi="Times New Roman" w:cs="Times New Roman"/>
      <w:b/>
      <w:sz w:val="24"/>
      <w:szCs w:val="20"/>
      <w:lang w:val="tr-TR"/>
    </w:rPr>
  </w:style>
  <w:style w:type="paragraph" w:styleId="FootnoteText">
    <w:name w:val="footnote text"/>
    <w:basedOn w:val="Normal"/>
    <w:link w:val="FootnoteTextChar"/>
    <w:semiHidden/>
    <w:rsid w:val="00C01C1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1C1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C01C1A"/>
    <w:rPr>
      <w:vertAlign w:val="superscript"/>
    </w:rPr>
  </w:style>
  <w:style w:type="table" w:styleId="TableGrid">
    <w:name w:val="Table Grid"/>
    <w:basedOn w:val="TableNormal"/>
    <w:uiPriority w:val="39"/>
    <w:rsid w:val="00C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323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B362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Aral&#305;k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Aral&#305;k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Sheet3!$H$1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Sheet3!$G$7:$G$10</c:f>
              <c:strCache>
                <c:ptCount val="4"/>
                <c:pt idx="0">
                  <c:v>2021</c:v>
                </c:pt>
                <c:pt idx="1">
                  <c:v>Haz-22</c:v>
                </c:pt>
                <c:pt idx="2">
                  <c:v>2022</c:v>
                </c:pt>
                <c:pt idx="3">
                  <c:v>Haz-22</c:v>
                </c:pt>
              </c:strCache>
            </c:strRef>
          </c:cat>
          <c:val>
            <c:numRef>
              <c:f>Sheet3!$H$7:$H$10</c:f>
              <c:numCache>
                <c:formatCode>#,##0</c:formatCode>
                <c:ptCount val="4"/>
                <c:pt idx="0">
                  <c:v>803.74950000000001</c:v>
                </c:pt>
                <c:pt idx="1">
                  <c:v>983.87399999999991</c:v>
                </c:pt>
                <c:pt idx="2">
                  <c:v>1044.9746</c:v>
                </c:pt>
                <c:pt idx="3">
                  <c:v>1410.5518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C-4FC6-9B9F-137773EB10D1}"/>
            </c:ext>
          </c:extLst>
        </c:ser>
        <c:ser>
          <c:idx val="1"/>
          <c:order val="1"/>
          <c:tx>
            <c:strRef>
              <c:f>Sheet3!$I$1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Sheet3!$G$7:$G$10</c:f>
              <c:strCache>
                <c:ptCount val="4"/>
                <c:pt idx="0">
                  <c:v>2021</c:v>
                </c:pt>
                <c:pt idx="1">
                  <c:v>Haz-22</c:v>
                </c:pt>
                <c:pt idx="2">
                  <c:v>2022</c:v>
                </c:pt>
                <c:pt idx="3">
                  <c:v>Haz-22</c:v>
                </c:pt>
              </c:strCache>
            </c:strRef>
          </c:cat>
          <c:val>
            <c:numRef>
              <c:f>Sheet3!$I$7:$I$10</c:f>
              <c:numCache>
                <c:formatCode>#,##0</c:formatCode>
                <c:ptCount val="4"/>
                <c:pt idx="0">
                  <c:v>60.300810263335578</c:v>
                </c:pt>
                <c:pt idx="1">
                  <c:v>88.33376546988849</c:v>
                </c:pt>
                <c:pt idx="2">
                  <c:v>84.57505227747977</c:v>
                </c:pt>
                <c:pt idx="3">
                  <c:v>82.133984688128081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5C-4FC6-9B9F-137773EB1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901184"/>
        <c:axId val="115902720"/>
      </c:barChart>
      <c:catAx>
        <c:axId val="11590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5902720"/>
        <c:crosses val="autoZero"/>
        <c:auto val="1"/>
        <c:lblAlgn val="ctr"/>
        <c:lblOffset val="100"/>
        <c:noMultiLvlLbl val="0"/>
      </c:catAx>
      <c:valAx>
        <c:axId val="11590272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590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720309311984"/>
          <c:y val="9.4907347107927281E-2"/>
          <c:w val="0.4823570780697487"/>
          <c:h val="0.8689680895151261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Nakdi</c:v>
                </c:pt>
              </c:strCache>
            </c:strRef>
          </c:tx>
          <c:dPt>
            <c:idx val="0"/>
            <c:bubble3D val="0"/>
            <c:spPr>
              <a:solidFill>
                <a:srgbClr val="0000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89-4BC5-8727-007FEEBD992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89-4BC5-8727-007FEEBD99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89-4BC5-8727-007FEEBD992C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89-4BC5-8727-007FEEBD992C}"/>
              </c:ext>
            </c:extLst>
          </c:dPt>
          <c:dLbls>
            <c:dLbl>
              <c:idx val="0"/>
              <c:layout>
                <c:manualLayout>
                  <c:x val="3.8362713008119394E-2"/>
                  <c:y val="-6.946631671041120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89-4BC5-8727-007FEEBD992C}"/>
                </c:ext>
              </c:extLst>
            </c:dLbl>
            <c:dLbl>
              <c:idx val="1"/>
              <c:layout>
                <c:manualLayout>
                  <c:x val="-0.12912925742379031"/>
                  <c:y val="-0.1488725751386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D89-4BC5-8727-007FEEBD992C}"/>
                </c:ext>
              </c:extLst>
            </c:dLbl>
            <c:dLbl>
              <c:idx val="2"/>
              <c:layout>
                <c:manualLayout>
                  <c:x val="-1.6228271966838868E-2"/>
                  <c:y val="-2.50811137397063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D89-4BC5-8727-007FEEBD992C}"/>
                </c:ext>
              </c:extLst>
            </c:dLbl>
            <c:dLbl>
              <c:idx val="3"/>
              <c:layout>
                <c:manualLayout>
                  <c:x val="-5.5792352959218992E-2"/>
                  <c:y val="6.33675835363628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D89-4BC5-8727-007FEEBD99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Enerji </c:v>
                </c:pt>
                <c:pt idx="1">
                  <c:v>Altyapı</c:v>
                </c:pt>
                <c:pt idx="2">
                  <c:v>Ticari Gayrimenkul</c:v>
                </c:pt>
                <c:pt idx="3">
                  <c:v>Diğer 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765.44320000000005</c:v>
                </c:pt>
                <c:pt idx="1">
                  <c:v>659.03800000000001</c:v>
                </c:pt>
                <c:pt idx="2">
                  <c:v>208.9222</c:v>
                </c:pt>
                <c:pt idx="3">
                  <c:v>308.62290000000002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89-4BC5-8727-007FEEBD9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3C3C-1367-4F4C-A008-B8A1FBF7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 Taş Memiş</dc:creator>
  <cp:lastModifiedBy>gkilinc</cp:lastModifiedBy>
  <cp:revision>11</cp:revision>
  <cp:lastPrinted>2022-09-08T08:01:00Z</cp:lastPrinted>
  <dcterms:created xsi:type="dcterms:W3CDTF">2023-03-02T07:41:00Z</dcterms:created>
  <dcterms:modified xsi:type="dcterms:W3CDTF">2023-08-10T10:41:00Z</dcterms:modified>
</cp:coreProperties>
</file>