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8D" w:rsidRDefault="0046774D" w:rsidP="00520D80">
      <w:pPr>
        <w:pStyle w:val="Title"/>
        <w:ind w:right="-599"/>
        <w:outlineLvl w:val="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1B2C4E">
        <w:rPr>
          <w:rFonts w:ascii="Arial" w:hAnsi="Arial" w:cs="Arial"/>
          <w:color w:val="000000" w:themeColor="text1"/>
          <w:sz w:val="28"/>
          <w:szCs w:val="28"/>
        </w:rPr>
        <w:t>Türk</w:t>
      </w:r>
      <w:r w:rsidR="00FE356C" w:rsidRPr="001B2C4E">
        <w:rPr>
          <w:rFonts w:ascii="Arial" w:hAnsi="Arial" w:cs="Arial"/>
          <w:color w:val="000000" w:themeColor="text1"/>
          <w:sz w:val="28"/>
          <w:szCs w:val="28"/>
        </w:rPr>
        <w:t>iye</w:t>
      </w:r>
      <w:r w:rsidRPr="001B2C4E">
        <w:rPr>
          <w:rFonts w:ascii="Arial" w:hAnsi="Arial" w:cs="Arial"/>
          <w:color w:val="000000" w:themeColor="text1"/>
          <w:sz w:val="28"/>
          <w:szCs w:val="28"/>
        </w:rPr>
        <w:t xml:space="preserve"> Bankacılık Sistemi</w:t>
      </w:r>
      <w:r w:rsidR="00533DED" w:rsidRPr="001B2C4E">
        <w:rPr>
          <w:rFonts w:ascii="Arial" w:hAnsi="Arial" w:cs="Arial"/>
          <w:color w:val="000000" w:themeColor="text1"/>
          <w:sz w:val="28"/>
          <w:szCs w:val="28"/>
        </w:rPr>
        <w:t>’nde</w:t>
      </w:r>
      <w:r w:rsidR="0059608B" w:rsidRPr="001B2C4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46774D" w:rsidRPr="001B2C4E" w:rsidRDefault="0059608B" w:rsidP="00520D80">
      <w:pPr>
        <w:pStyle w:val="Title"/>
        <w:ind w:right="-599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1B2C4E">
        <w:rPr>
          <w:rFonts w:ascii="Arial" w:hAnsi="Arial" w:cs="Arial"/>
          <w:color w:val="000000" w:themeColor="text1"/>
          <w:sz w:val="28"/>
          <w:szCs w:val="28"/>
        </w:rPr>
        <w:t>Seçilmiş Göstergelerin</w:t>
      </w:r>
    </w:p>
    <w:p w:rsidR="00746FEE" w:rsidRPr="001B2C4E" w:rsidRDefault="0046774D" w:rsidP="001E76AD">
      <w:pPr>
        <w:pStyle w:val="Title"/>
        <w:ind w:right="-599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1B2C4E">
        <w:rPr>
          <w:rFonts w:ascii="Arial" w:hAnsi="Arial" w:cs="Arial"/>
          <w:color w:val="000000" w:themeColor="text1"/>
          <w:sz w:val="28"/>
          <w:szCs w:val="28"/>
        </w:rPr>
        <w:t>İl</w:t>
      </w:r>
      <w:r w:rsidR="000E71E7" w:rsidRPr="001B2C4E">
        <w:rPr>
          <w:rFonts w:ascii="Arial" w:hAnsi="Arial" w:cs="Arial"/>
          <w:color w:val="000000" w:themeColor="text1"/>
          <w:sz w:val="28"/>
          <w:szCs w:val="28"/>
        </w:rPr>
        <w:t>lere ve Bölgelere Göre</w:t>
      </w:r>
      <w:r w:rsidRPr="001B2C4E">
        <w:rPr>
          <w:rFonts w:ascii="Arial" w:hAnsi="Arial" w:cs="Arial"/>
          <w:color w:val="000000" w:themeColor="text1"/>
          <w:sz w:val="28"/>
          <w:szCs w:val="28"/>
        </w:rPr>
        <w:t xml:space="preserve"> Dağılım</w:t>
      </w:r>
      <w:r w:rsidR="00A97D8B" w:rsidRPr="001B2C4E">
        <w:rPr>
          <w:rFonts w:ascii="Arial" w:hAnsi="Arial" w:cs="Arial"/>
          <w:color w:val="000000" w:themeColor="text1"/>
          <w:sz w:val="28"/>
          <w:szCs w:val="28"/>
        </w:rPr>
        <w:t>ı</w:t>
      </w:r>
      <w:r w:rsidR="00A775D5" w:rsidRPr="001B2C4E">
        <w:rPr>
          <w:rStyle w:val="FootnoteReference"/>
          <w:rFonts w:ascii="Arial" w:hAnsi="Arial" w:cs="Arial"/>
          <w:bCs/>
          <w:color w:val="000000" w:themeColor="text1"/>
          <w:sz w:val="28"/>
          <w:szCs w:val="28"/>
        </w:rPr>
        <w:footnoteReference w:id="1"/>
      </w:r>
      <w:r w:rsidR="00B32BE5" w:rsidRPr="001B2C4E">
        <w:rPr>
          <w:rFonts w:ascii="Arial" w:hAnsi="Arial" w:cs="Arial"/>
          <w:color w:val="000000" w:themeColor="text1"/>
          <w:sz w:val="28"/>
          <w:szCs w:val="28"/>
        </w:rPr>
        <w:t>,</w:t>
      </w:r>
      <w:r w:rsidR="00B32BE5" w:rsidRPr="001B2C4E">
        <w:rPr>
          <w:rStyle w:val="FootnoteReference"/>
          <w:rFonts w:ascii="Arial" w:hAnsi="Arial" w:cs="Arial"/>
          <w:color w:val="000000" w:themeColor="text1"/>
          <w:sz w:val="28"/>
          <w:szCs w:val="28"/>
        </w:rPr>
        <w:footnoteReference w:id="2"/>
      </w:r>
    </w:p>
    <w:p w:rsidR="0046774D" w:rsidRPr="001B2C4E" w:rsidRDefault="0046774D" w:rsidP="001E76AD">
      <w:pPr>
        <w:ind w:right="-59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4C43E9" w:rsidRPr="001B2C4E" w:rsidRDefault="004C43E9" w:rsidP="001E76AD">
      <w:pPr>
        <w:jc w:val="both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I. Genel Değerlendirme</w:t>
      </w:r>
    </w:p>
    <w:p w:rsidR="00157F25" w:rsidRPr="001B2C4E" w:rsidRDefault="00157F25" w:rsidP="001E76AD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615170" w:rsidRPr="001B2C4E" w:rsidRDefault="004C43E9" w:rsidP="006B5986">
      <w:pPr>
        <w:spacing w:before="12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Hizmet ağı: </w:t>
      </w:r>
      <w:r w:rsidR="00DE4F48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Şube dışı a</w:t>
      </w:r>
      <w:r w:rsidR="000B7376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lternatif hizmet kanalları</w:t>
      </w:r>
      <w:r w:rsidR="00172288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nda büyüme</w:t>
      </w:r>
      <w:r w:rsidR="00D314BA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devam etmiş</w:t>
      </w:r>
      <w:r w:rsidR="00DE4F48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tir. </w:t>
      </w:r>
    </w:p>
    <w:p w:rsidR="0045150C" w:rsidRPr="001B2C4E" w:rsidRDefault="0045150C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Bankacılık sektörü yaygın şube ağı yanında, ATM, telefon bankacılığı ve diğer dijital alanlar olan alternatif hizmet kanallarından ürün ve hizmet sunumunu arttırmakta ve çeşitlendirmektedir. </w:t>
      </w:r>
      <w:r w:rsidR="00DD6872" w:rsidRPr="001B2C4E">
        <w:rPr>
          <w:rFonts w:ascii="Arial" w:hAnsi="Arial" w:cs="Arial"/>
          <w:color w:val="000000" w:themeColor="text1"/>
          <w:sz w:val="22"/>
          <w:szCs w:val="22"/>
        </w:rPr>
        <w:t xml:space="preserve">Uzaktan müşteri kabulünün </w:t>
      </w:r>
      <w:r w:rsidR="00084DD4">
        <w:rPr>
          <w:rFonts w:ascii="Arial" w:hAnsi="Arial" w:cs="Arial"/>
          <w:color w:val="000000" w:themeColor="text1"/>
          <w:sz w:val="22"/>
          <w:szCs w:val="22"/>
        </w:rPr>
        <w:t>bireysel müşterilerin ardından</w:t>
      </w:r>
      <w:r w:rsidR="001B2C4E" w:rsidRPr="001B2C4E">
        <w:rPr>
          <w:rFonts w:ascii="Arial" w:hAnsi="Arial" w:cs="Arial"/>
          <w:color w:val="000000" w:themeColor="text1"/>
          <w:sz w:val="22"/>
          <w:szCs w:val="22"/>
        </w:rPr>
        <w:t xml:space="preserve"> Mayıs 2022 </w:t>
      </w:r>
      <w:r w:rsidR="00084DD4">
        <w:rPr>
          <w:rFonts w:ascii="Arial" w:hAnsi="Arial" w:cs="Arial"/>
          <w:color w:val="000000" w:themeColor="text1"/>
          <w:sz w:val="22"/>
          <w:szCs w:val="22"/>
        </w:rPr>
        <w:t>ayında ticari müşteriler için</w:t>
      </w:r>
      <w:r w:rsidR="001B2C4E" w:rsidRPr="001B2C4E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084DD4">
        <w:rPr>
          <w:rFonts w:ascii="Arial" w:hAnsi="Arial" w:cs="Arial"/>
          <w:color w:val="000000" w:themeColor="text1"/>
          <w:sz w:val="22"/>
          <w:szCs w:val="22"/>
        </w:rPr>
        <w:t xml:space="preserve"> mümkün hale gelmesi</w:t>
      </w:r>
      <w:r w:rsidR="001B2C4E" w:rsidRPr="001B2C4E">
        <w:rPr>
          <w:rFonts w:ascii="Arial" w:hAnsi="Arial" w:cs="Arial"/>
          <w:color w:val="000000" w:themeColor="text1"/>
          <w:sz w:val="22"/>
          <w:szCs w:val="22"/>
        </w:rPr>
        <w:t xml:space="preserve"> dijitalleşme </w:t>
      </w:r>
      <w:r w:rsidR="004E678D">
        <w:rPr>
          <w:rFonts w:ascii="Arial" w:hAnsi="Arial" w:cs="Arial"/>
          <w:color w:val="000000" w:themeColor="text1"/>
          <w:sz w:val="22"/>
          <w:szCs w:val="22"/>
        </w:rPr>
        <w:t xml:space="preserve">kapsamını </w:t>
      </w:r>
      <w:r w:rsidR="00E35F4E">
        <w:rPr>
          <w:rFonts w:ascii="Arial" w:hAnsi="Arial" w:cs="Arial"/>
          <w:color w:val="000000" w:themeColor="text1"/>
          <w:sz w:val="22"/>
          <w:szCs w:val="22"/>
        </w:rPr>
        <w:t>g</w:t>
      </w:r>
      <w:r w:rsidR="004E678D">
        <w:rPr>
          <w:rFonts w:ascii="Arial" w:hAnsi="Arial" w:cs="Arial"/>
          <w:color w:val="000000" w:themeColor="text1"/>
          <w:sz w:val="22"/>
          <w:szCs w:val="22"/>
        </w:rPr>
        <w:t xml:space="preserve">enişletmektedir. </w:t>
      </w:r>
    </w:p>
    <w:p w:rsidR="00615170" w:rsidRPr="001B2C4E" w:rsidRDefault="00615170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Bir şubenin hizmet </w:t>
      </w:r>
      <w:r w:rsidR="00633CAD" w:rsidRPr="001B2C4E">
        <w:rPr>
          <w:rFonts w:ascii="Arial" w:hAnsi="Arial" w:cs="Arial"/>
          <w:color w:val="000000" w:themeColor="text1"/>
          <w:sz w:val="22"/>
          <w:szCs w:val="22"/>
        </w:rPr>
        <w:t>verdiği müşteri sayısı artarken bir çalışanın hizmet verdiği müşteri sayısı azalmıştır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. Şube başına düşen </w:t>
      </w:r>
      <w:r w:rsidR="009B28C8" w:rsidRPr="001B2C4E">
        <w:rPr>
          <w:rFonts w:ascii="Arial" w:hAnsi="Arial" w:cs="Arial"/>
          <w:color w:val="000000" w:themeColor="text1"/>
          <w:sz w:val="22"/>
          <w:szCs w:val="22"/>
        </w:rPr>
        <w:t>nüfus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6EFE" w:rsidRPr="001B2C4E">
        <w:rPr>
          <w:rFonts w:ascii="Arial" w:hAnsi="Arial" w:cs="Arial"/>
          <w:color w:val="000000" w:themeColor="text1"/>
          <w:sz w:val="22"/>
          <w:szCs w:val="22"/>
        </w:rPr>
        <w:t>20</w:t>
      </w:r>
      <w:r w:rsidR="005D7F30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92263E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="00DE4F48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yılında </w:t>
      </w:r>
      <w:r w:rsidR="00E234C9" w:rsidRPr="001B2C4E">
        <w:rPr>
          <w:rFonts w:ascii="Arial" w:hAnsi="Arial" w:cs="Arial"/>
          <w:color w:val="000000" w:themeColor="text1"/>
          <w:sz w:val="22"/>
          <w:szCs w:val="22"/>
        </w:rPr>
        <w:t>8.</w:t>
      </w:r>
      <w:r w:rsidR="0092263E" w:rsidRPr="001B2C4E">
        <w:rPr>
          <w:rFonts w:ascii="Arial" w:hAnsi="Arial" w:cs="Arial"/>
          <w:color w:val="000000" w:themeColor="text1"/>
          <w:sz w:val="22"/>
          <w:szCs w:val="22"/>
        </w:rPr>
        <w:t>711</w:t>
      </w:r>
      <w:r w:rsidR="00FC4F3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 xml:space="preserve">iken 2022 yılında 8.893 </w:t>
      </w:r>
      <w:r w:rsidR="00FC4F38" w:rsidRPr="001B2C4E">
        <w:rPr>
          <w:rFonts w:ascii="Arial" w:hAnsi="Arial" w:cs="Arial"/>
          <w:color w:val="000000" w:themeColor="text1"/>
          <w:sz w:val="22"/>
          <w:szCs w:val="22"/>
        </w:rPr>
        <w:t>kişi</w:t>
      </w:r>
      <w:r w:rsidR="00DE4F48" w:rsidRPr="001B2C4E">
        <w:rPr>
          <w:rFonts w:ascii="Arial" w:hAnsi="Arial" w:cs="Arial"/>
          <w:color w:val="000000" w:themeColor="text1"/>
          <w:sz w:val="22"/>
          <w:szCs w:val="22"/>
        </w:rPr>
        <w:t xml:space="preserve"> olmuştur.</w:t>
      </w:r>
      <w:r w:rsidR="00F21E3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Bir personelin </w:t>
      </w:r>
      <w:r w:rsidR="00FC4F38" w:rsidRPr="001B2C4E">
        <w:rPr>
          <w:rFonts w:ascii="Arial" w:hAnsi="Arial" w:cs="Arial"/>
          <w:color w:val="000000" w:themeColor="text1"/>
          <w:sz w:val="22"/>
          <w:szCs w:val="22"/>
        </w:rPr>
        <w:t>hizmet verdiği kişi</w:t>
      </w:r>
      <w:r w:rsidR="0092263E" w:rsidRPr="001B2C4E">
        <w:rPr>
          <w:rFonts w:ascii="Arial" w:hAnsi="Arial" w:cs="Arial"/>
          <w:color w:val="000000" w:themeColor="text1"/>
          <w:sz w:val="22"/>
          <w:szCs w:val="22"/>
        </w:rPr>
        <w:t xml:space="preserve"> sayısı 202</w:t>
      </w:r>
      <w:r w:rsidR="00633CAD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92263E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4F48" w:rsidRPr="001B2C4E">
        <w:rPr>
          <w:rFonts w:ascii="Arial" w:hAnsi="Arial" w:cs="Arial"/>
          <w:color w:val="000000" w:themeColor="text1"/>
          <w:sz w:val="22"/>
          <w:szCs w:val="22"/>
        </w:rPr>
        <w:t xml:space="preserve">yılında bir önceki yıla göre </w:t>
      </w:r>
      <w:r w:rsidR="00633CAD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DE4F48" w:rsidRPr="001B2C4E">
        <w:rPr>
          <w:rFonts w:ascii="Arial" w:hAnsi="Arial" w:cs="Arial"/>
          <w:color w:val="000000" w:themeColor="text1"/>
          <w:sz w:val="22"/>
          <w:szCs w:val="22"/>
        </w:rPr>
        <w:t xml:space="preserve"> kişi </w:t>
      </w:r>
      <w:r w:rsidR="00633CAD" w:rsidRPr="001B2C4E">
        <w:rPr>
          <w:rFonts w:ascii="Arial" w:hAnsi="Arial" w:cs="Arial"/>
          <w:color w:val="000000" w:themeColor="text1"/>
          <w:sz w:val="22"/>
          <w:szCs w:val="22"/>
        </w:rPr>
        <w:t>azalarak</w:t>
      </w:r>
      <w:r w:rsidR="00DE4F4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7F30" w:rsidRPr="001B2C4E">
        <w:rPr>
          <w:rFonts w:ascii="Arial" w:hAnsi="Arial" w:cs="Arial"/>
          <w:color w:val="000000" w:themeColor="text1"/>
          <w:sz w:val="22"/>
          <w:szCs w:val="22"/>
        </w:rPr>
        <w:t>45</w:t>
      </w:r>
      <w:r w:rsidR="00633CAD" w:rsidRPr="001B2C4E">
        <w:rPr>
          <w:rFonts w:ascii="Arial" w:hAnsi="Arial" w:cs="Arial"/>
          <w:color w:val="000000" w:themeColor="text1"/>
          <w:sz w:val="22"/>
          <w:szCs w:val="22"/>
        </w:rPr>
        <w:t>4</w:t>
      </w:r>
      <w:r w:rsidR="00DE4F48" w:rsidRPr="001B2C4E">
        <w:rPr>
          <w:rFonts w:ascii="Arial" w:hAnsi="Arial" w:cs="Arial"/>
          <w:color w:val="000000" w:themeColor="text1"/>
          <w:sz w:val="22"/>
          <w:szCs w:val="22"/>
        </w:rPr>
        <w:t xml:space="preserve"> olmuştur.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91F1C" w:rsidRPr="001B2C4E" w:rsidRDefault="00F56EFE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ATM 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başına düşen müşteri sayısı da artmıştır. </w:t>
      </w:r>
      <w:r w:rsidR="0092263E" w:rsidRPr="001B2C4E">
        <w:rPr>
          <w:rFonts w:ascii="Arial" w:hAnsi="Arial" w:cs="Arial"/>
          <w:color w:val="000000" w:themeColor="text1"/>
          <w:sz w:val="22"/>
          <w:szCs w:val="22"/>
        </w:rPr>
        <w:t>Nitekim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2021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yılında 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1.832</w:t>
      </w:r>
      <w:r w:rsidR="0071746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1F1C" w:rsidRPr="001B2C4E">
        <w:rPr>
          <w:rFonts w:ascii="Arial" w:hAnsi="Arial" w:cs="Arial"/>
          <w:color w:val="000000" w:themeColor="text1"/>
          <w:sz w:val="22"/>
          <w:szCs w:val="22"/>
        </w:rPr>
        <w:t xml:space="preserve">kişiye 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>bir ATM düşerken</w:t>
      </w:r>
      <w:r w:rsidR="0092263E" w:rsidRPr="001B2C4E">
        <w:rPr>
          <w:rFonts w:ascii="Arial" w:hAnsi="Arial" w:cs="Arial"/>
          <w:color w:val="000000" w:themeColor="text1"/>
          <w:sz w:val="22"/>
          <w:szCs w:val="22"/>
        </w:rPr>
        <w:t>,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 bu sayı </w:t>
      </w:r>
      <w:r w:rsidR="00F304AF" w:rsidRPr="001B2C4E">
        <w:rPr>
          <w:rFonts w:ascii="Arial" w:hAnsi="Arial" w:cs="Arial"/>
          <w:color w:val="000000" w:themeColor="text1"/>
          <w:sz w:val="22"/>
          <w:szCs w:val="22"/>
        </w:rPr>
        <w:t>20</w:t>
      </w:r>
      <w:r w:rsidR="005D7F30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F304AF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yılı itibariyle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1.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848</w:t>
      </w:r>
      <w:r w:rsidR="0071746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olmuştur. </w:t>
      </w:r>
      <w:r w:rsidR="000B7376" w:rsidRPr="001B2C4E">
        <w:rPr>
          <w:rFonts w:ascii="Arial" w:hAnsi="Arial" w:cs="Arial"/>
          <w:color w:val="000000" w:themeColor="text1"/>
          <w:sz w:val="22"/>
          <w:szCs w:val="22"/>
        </w:rPr>
        <w:t xml:space="preserve">Her </w:t>
      </w:r>
      <w:r w:rsidR="00F91F1C" w:rsidRPr="001B2C4E">
        <w:rPr>
          <w:rFonts w:ascii="Arial" w:hAnsi="Arial" w:cs="Arial"/>
          <w:color w:val="000000" w:themeColor="text1"/>
          <w:sz w:val="22"/>
          <w:szCs w:val="22"/>
        </w:rPr>
        <w:t>ATM</w:t>
      </w:r>
      <w:r w:rsidR="0071746F" w:rsidRPr="001B2C4E">
        <w:rPr>
          <w:rFonts w:ascii="Arial" w:hAnsi="Arial" w:cs="Arial"/>
          <w:color w:val="000000" w:themeColor="text1"/>
          <w:sz w:val="22"/>
          <w:szCs w:val="22"/>
        </w:rPr>
        <w:t>’nin hizmet verdiği kişi</w:t>
      </w:r>
      <w:r w:rsidR="00F91F1C" w:rsidRPr="001B2C4E">
        <w:rPr>
          <w:rFonts w:ascii="Arial" w:hAnsi="Arial" w:cs="Arial"/>
          <w:color w:val="000000" w:themeColor="text1"/>
          <w:sz w:val="22"/>
          <w:szCs w:val="22"/>
        </w:rPr>
        <w:t xml:space="preserve"> sayısının Tür</w:t>
      </w:r>
      <w:r w:rsidR="00C25BE9" w:rsidRPr="001B2C4E">
        <w:rPr>
          <w:rFonts w:ascii="Arial" w:hAnsi="Arial" w:cs="Arial"/>
          <w:color w:val="000000" w:themeColor="text1"/>
          <w:sz w:val="22"/>
          <w:szCs w:val="22"/>
        </w:rPr>
        <w:t xml:space="preserve">kiye ortalamasının </w:t>
      </w:r>
      <w:r w:rsidR="0071746F" w:rsidRPr="001B2C4E">
        <w:rPr>
          <w:rFonts w:ascii="Arial" w:hAnsi="Arial" w:cs="Arial"/>
          <w:color w:val="000000" w:themeColor="text1"/>
          <w:sz w:val="22"/>
          <w:szCs w:val="22"/>
        </w:rPr>
        <w:t>altında</w:t>
      </w:r>
      <w:r w:rsidR="00C25BE9" w:rsidRPr="001B2C4E">
        <w:rPr>
          <w:rFonts w:ascii="Arial" w:hAnsi="Arial" w:cs="Arial"/>
          <w:color w:val="000000" w:themeColor="text1"/>
          <w:sz w:val="22"/>
          <w:szCs w:val="22"/>
        </w:rPr>
        <w:t xml:space="preserve"> olduğu</w:t>
      </w:r>
      <w:r w:rsidR="00F91F1C" w:rsidRPr="001B2C4E">
        <w:rPr>
          <w:rFonts w:ascii="Arial" w:hAnsi="Arial" w:cs="Arial"/>
          <w:color w:val="000000" w:themeColor="text1"/>
          <w:sz w:val="22"/>
          <w:szCs w:val="22"/>
        </w:rPr>
        <w:t xml:space="preserve"> il sayısı 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>22’di</w:t>
      </w:r>
      <w:r w:rsidR="00592A58" w:rsidRPr="001B2C4E">
        <w:rPr>
          <w:rFonts w:ascii="Arial" w:hAnsi="Arial" w:cs="Arial"/>
          <w:color w:val="000000" w:themeColor="text1"/>
          <w:sz w:val="22"/>
          <w:szCs w:val="22"/>
        </w:rPr>
        <w:t>r</w:t>
      </w:r>
      <w:r w:rsidR="00F91F1C" w:rsidRPr="001B2C4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1746F" w:rsidRPr="001B2C4E">
        <w:rPr>
          <w:rFonts w:ascii="Arial" w:hAnsi="Arial" w:cs="Arial"/>
          <w:color w:val="000000" w:themeColor="text1"/>
          <w:sz w:val="22"/>
          <w:szCs w:val="22"/>
        </w:rPr>
        <w:t>Bu iller,</w:t>
      </w:r>
      <w:r w:rsidR="00912DD0" w:rsidRPr="001B2C4E">
        <w:rPr>
          <w:rFonts w:ascii="Arial" w:hAnsi="Arial" w:cs="Arial"/>
          <w:color w:val="000000" w:themeColor="text1"/>
          <w:sz w:val="22"/>
          <w:szCs w:val="22"/>
        </w:rPr>
        <w:t xml:space="preserve"> çoğunlukla</w:t>
      </w:r>
      <w:r w:rsidR="00592A5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0994" w:rsidRPr="001B2C4E">
        <w:rPr>
          <w:rFonts w:ascii="Arial" w:hAnsi="Arial" w:cs="Arial"/>
          <w:color w:val="000000" w:themeColor="text1"/>
          <w:sz w:val="22"/>
          <w:szCs w:val="22"/>
        </w:rPr>
        <w:t>turizm</w:t>
      </w:r>
      <w:r w:rsidR="00987325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bölgelerindedir. </w:t>
      </w:r>
    </w:p>
    <w:p w:rsidR="00615170" w:rsidRPr="001B2C4E" w:rsidRDefault="000B7376" w:rsidP="006B5986">
      <w:pPr>
        <w:spacing w:before="12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Kişi başına k</w:t>
      </w:r>
      <w:r w:rsidR="004C43E9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redi ve mevduat </w:t>
      </w:r>
      <w:r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artmıştı</w:t>
      </w:r>
      <w:r w:rsidR="00133524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r</w:t>
      </w:r>
      <w:r w:rsidR="00DE4F48" w:rsidRPr="001B2C4E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1E76AD" w:rsidRPr="001B2C4E" w:rsidRDefault="00C25BE9" w:rsidP="006B5986">
      <w:pPr>
        <w:spacing w:before="12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Kişi başına </w:t>
      </w:r>
      <w:r w:rsidR="00004F24" w:rsidRPr="001B2C4E">
        <w:rPr>
          <w:rFonts w:ascii="Arial" w:hAnsi="Arial" w:cs="Arial"/>
          <w:color w:val="000000" w:themeColor="text1"/>
          <w:sz w:val="22"/>
          <w:szCs w:val="22"/>
        </w:rPr>
        <w:t xml:space="preserve">yurtiçi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mevduat 20</w:t>
      </w:r>
      <w:r w:rsidR="00150F6F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yılında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bir önceki yıl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göre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>58.122</w:t>
      </w:r>
      <w:r w:rsidR="001E2FEB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TL’den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 xml:space="preserve">97.474 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>TL’y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e, kişi başına </w:t>
      </w:r>
      <w:r w:rsidR="00004F24" w:rsidRPr="001B2C4E">
        <w:rPr>
          <w:rFonts w:ascii="Arial" w:hAnsi="Arial" w:cs="Arial"/>
          <w:color w:val="000000" w:themeColor="text1"/>
          <w:sz w:val="22"/>
          <w:szCs w:val="22"/>
        </w:rPr>
        <w:t xml:space="preserve">yurtiçi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kredi ise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>51.919</w:t>
      </w:r>
      <w:r w:rsidR="001E2FEB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 xml:space="preserve">TL’den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 xml:space="preserve">79.760 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 xml:space="preserve">TL’ye yükselmiştir. </w:t>
      </w:r>
      <w:r w:rsidR="00004F24" w:rsidRPr="001B2C4E">
        <w:rPr>
          <w:rFonts w:ascii="Arial" w:hAnsi="Arial" w:cs="Arial"/>
          <w:color w:val="000000" w:themeColor="text1"/>
          <w:sz w:val="22"/>
          <w:szCs w:val="22"/>
        </w:rPr>
        <w:t>K</w:t>
      </w:r>
      <w:r w:rsidR="00927372" w:rsidRPr="001B2C4E">
        <w:rPr>
          <w:rFonts w:ascii="Arial" w:hAnsi="Arial" w:cs="Arial"/>
          <w:color w:val="000000" w:themeColor="text1"/>
          <w:sz w:val="22"/>
          <w:szCs w:val="22"/>
        </w:rPr>
        <w:t>işi başına mevduat 20</w:t>
      </w:r>
      <w:r w:rsidR="00150F6F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yılında yüzde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>68</w:t>
      </w:r>
      <w:r w:rsidR="003233F5" w:rsidRPr="001B2C4E">
        <w:rPr>
          <w:rFonts w:ascii="Arial" w:hAnsi="Arial" w:cs="Arial"/>
          <w:color w:val="000000" w:themeColor="text1"/>
          <w:sz w:val="22"/>
          <w:szCs w:val="22"/>
        </w:rPr>
        <w:t>,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 xml:space="preserve"> kişi başına kredi ise yüzde </w:t>
      </w:r>
      <w:r w:rsidR="00E915E6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1E2FEB" w:rsidRPr="001B2C4E">
        <w:rPr>
          <w:rFonts w:ascii="Arial" w:hAnsi="Arial" w:cs="Arial"/>
          <w:color w:val="000000" w:themeColor="text1"/>
          <w:sz w:val="22"/>
          <w:szCs w:val="22"/>
        </w:rPr>
        <w:t>4</w:t>
      </w:r>
      <w:r w:rsidR="004C43E9" w:rsidRPr="001B2C4E">
        <w:rPr>
          <w:rFonts w:ascii="Arial" w:hAnsi="Arial" w:cs="Arial"/>
          <w:color w:val="000000" w:themeColor="text1"/>
          <w:sz w:val="22"/>
          <w:szCs w:val="22"/>
        </w:rPr>
        <w:t xml:space="preserve"> artmıştır.</w:t>
      </w:r>
      <w:r w:rsidR="0081335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20D80" w:rsidRPr="001B2C4E" w:rsidRDefault="00070557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Kişi başına kredi ve mevduatın en yüksek olduğu il İstanbul’dur. Aynı zamanda İs</w:t>
      </w:r>
      <w:r w:rsidR="005D4C76" w:rsidRPr="001B2C4E">
        <w:rPr>
          <w:rFonts w:ascii="Arial" w:hAnsi="Arial" w:cs="Arial"/>
          <w:color w:val="000000" w:themeColor="text1"/>
          <w:sz w:val="22"/>
          <w:szCs w:val="22"/>
        </w:rPr>
        <w:t xml:space="preserve">tanbul toplam mevduatın yüzde </w:t>
      </w:r>
      <w:r w:rsidR="009F5565" w:rsidRPr="001B2C4E">
        <w:rPr>
          <w:rFonts w:ascii="Arial" w:hAnsi="Arial" w:cs="Arial"/>
          <w:color w:val="000000" w:themeColor="text1"/>
          <w:sz w:val="22"/>
          <w:szCs w:val="22"/>
        </w:rPr>
        <w:t>4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6’sını</w:t>
      </w:r>
      <w:r w:rsidR="0086176F" w:rsidRPr="001B2C4E">
        <w:rPr>
          <w:rFonts w:ascii="Arial" w:hAnsi="Arial" w:cs="Arial"/>
          <w:color w:val="000000" w:themeColor="text1"/>
          <w:sz w:val="22"/>
          <w:szCs w:val="22"/>
        </w:rPr>
        <w:t xml:space="preserve"> ve toplam kredilerin yüzde 4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="009F5565" w:rsidRPr="001B2C4E">
        <w:rPr>
          <w:rFonts w:ascii="Arial" w:hAnsi="Arial" w:cs="Arial"/>
          <w:color w:val="000000" w:themeColor="text1"/>
          <w:sz w:val="22"/>
          <w:szCs w:val="22"/>
        </w:rPr>
        <w:t>’ini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sağlamaktadır. </w:t>
      </w:r>
      <w:r w:rsidR="0086176F" w:rsidRPr="001B2C4E">
        <w:rPr>
          <w:rFonts w:ascii="Arial" w:hAnsi="Arial" w:cs="Arial"/>
          <w:color w:val="000000" w:themeColor="text1"/>
          <w:sz w:val="22"/>
          <w:szCs w:val="22"/>
        </w:rPr>
        <w:t>Ankara için bu oranlar</w:t>
      </w:r>
      <w:r w:rsidR="009F5565" w:rsidRPr="001B2C4E">
        <w:rPr>
          <w:rFonts w:ascii="Arial" w:hAnsi="Arial" w:cs="Arial"/>
          <w:color w:val="000000" w:themeColor="text1"/>
          <w:sz w:val="22"/>
          <w:szCs w:val="22"/>
        </w:rPr>
        <w:t xml:space="preserve"> yüzde 1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6</w:t>
      </w:r>
      <w:r w:rsidR="009F5565" w:rsidRPr="001B2C4E">
        <w:rPr>
          <w:rFonts w:ascii="Arial" w:hAnsi="Arial" w:cs="Arial"/>
          <w:color w:val="000000" w:themeColor="text1"/>
          <w:sz w:val="22"/>
          <w:szCs w:val="22"/>
        </w:rPr>
        <w:t xml:space="preserve"> ve</w:t>
      </w:r>
      <w:r w:rsidR="0086176F" w:rsidRPr="001B2C4E">
        <w:rPr>
          <w:rFonts w:ascii="Arial" w:hAnsi="Arial" w:cs="Arial"/>
          <w:color w:val="000000" w:themeColor="text1"/>
          <w:sz w:val="22"/>
          <w:szCs w:val="22"/>
        </w:rPr>
        <w:t xml:space="preserve"> yüzde 1</w:t>
      </w:r>
      <w:r w:rsidR="001F6EB6" w:rsidRPr="001B2C4E">
        <w:rPr>
          <w:rFonts w:ascii="Arial" w:hAnsi="Arial" w:cs="Arial"/>
          <w:color w:val="000000" w:themeColor="text1"/>
          <w:sz w:val="22"/>
          <w:szCs w:val="22"/>
        </w:rPr>
        <w:t>3</w:t>
      </w:r>
      <w:r w:rsidR="0086176F" w:rsidRPr="001B2C4E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gerçekleşmiştir.</w:t>
      </w:r>
    </w:p>
    <w:p w:rsidR="004C43E9" w:rsidRPr="001B2C4E" w:rsidRDefault="004C43E9" w:rsidP="006B5986">
      <w:pPr>
        <w:spacing w:before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II. İller ve Bölgeler Bazında Gelişmeler</w:t>
      </w:r>
    </w:p>
    <w:p w:rsidR="0046774D" w:rsidRPr="001B2C4E" w:rsidRDefault="00F06649" w:rsidP="006B5986">
      <w:pPr>
        <w:spacing w:before="120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1. Banka,</w:t>
      </w:r>
      <w:r w:rsidR="0046774D" w:rsidRPr="001B2C4E">
        <w:rPr>
          <w:rFonts w:ascii="Arial" w:hAnsi="Arial" w:cs="Arial"/>
          <w:b/>
          <w:color w:val="000000" w:themeColor="text1"/>
          <w:szCs w:val="24"/>
        </w:rPr>
        <w:t xml:space="preserve"> şube</w:t>
      </w:r>
      <w:r w:rsidRPr="001B2C4E">
        <w:rPr>
          <w:rFonts w:ascii="Arial" w:hAnsi="Arial" w:cs="Arial"/>
          <w:b/>
          <w:color w:val="000000" w:themeColor="text1"/>
          <w:szCs w:val="24"/>
        </w:rPr>
        <w:t xml:space="preserve"> ve personel</w:t>
      </w:r>
      <w:r w:rsidR="0046774D" w:rsidRPr="001B2C4E">
        <w:rPr>
          <w:rFonts w:ascii="Arial" w:hAnsi="Arial" w:cs="Arial"/>
          <w:b/>
          <w:color w:val="000000" w:themeColor="text1"/>
          <w:szCs w:val="24"/>
        </w:rPr>
        <w:t xml:space="preserve"> sayısı</w:t>
      </w:r>
    </w:p>
    <w:p w:rsidR="00615170" w:rsidRPr="001B2C4E" w:rsidRDefault="00284A23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>Türkiy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e’de 202</w:t>
      </w:r>
      <w:r w:rsidR="0046396E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1C1377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</w:t>
      </w:r>
      <w:r w:rsidR="00EC2971" w:rsidRPr="001B2C4E">
        <w:rPr>
          <w:rFonts w:ascii="Arial" w:hAnsi="Arial" w:cs="Arial"/>
          <w:color w:val="000000" w:themeColor="text1"/>
          <w:sz w:val="22"/>
          <w:szCs w:val="22"/>
        </w:rPr>
        <w:t>ı</w:t>
      </w:r>
      <w:r w:rsidR="001C1377" w:rsidRPr="001B2C4E">
        <w:rPr>
          <w:rFonts w:ascii="Arial" w:hAnsi="Arial" w:cs="Arial"/>
          <w:color w:val="000000" w:themeColor="text1"/>
          <w:sz w:val="22"/>
          <w:szCs w:val="22"/>
        </w:rPr>
        <w:t xml:space="preserve"> sonu itibariyle </w:t>
      </w:r>
      <w:r w:rsidR="0046396E" w:rsidRPr="001B2C4E">
        <w:rPr>
          <w:rFonts w:ascii="Arial" w:hAnsi="Arial" w:cs="Arial"/>
          <w:color w:val="000000" w:themeColor="text1"/>
          <w:sz w:val="22"/>
          <w:szCs w:val="22"/>
        </w:rPr>
        <w:t>51</w:t>
      </w:r>
      <w:r w:rsidR="006361D0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CDC" w:rsidRPr="001B2C4E">
        <w:rPr>
          <w:rFonts w:ascii="Arial" w:hAnsi="Arial" w:cs="Arial"/>
          <w:color w:val="000000" w:themeColor="text1"/>
          <w:sz w:val="22"/>
          <w:szCs w:val="22"/>
        </w:rPr>
        <w:t xml:space="preserve">mevduat, kalkınma ve yatırım </w:t>
      </w:r>
      <w:r w:rsidR="006361D0" w:rsidRPr="001B2C4E">
        <w:rPr>
          <w:rFonts w:ascii="Arial" w:hAnsi="Arial" w:cs="Arial"/>
          <w:color w:val="000000" w:themeColor="text1"/>
          <w:sz w:val="22"/>
          <w:szCs w:val="22"/>
        </w:rPr>
        <w:t>banka</w:t>
      </w:r>
      <w:r w:rsidR="008B3CDC" w:rsidRPr="001B2C4E">
        <w:rPr>
          <w:rFonts w:ascii="Arial" w:hAnsi="Arial" w:cs="Arial"/>
          <w:color w:val="000000" w:themeColor="text1"/>
          <w:sz w:val="22"/>
          <w:szCs w:val="22"/>
        </w:rPr>
        <w:t>sı ve bu bankalara ait</w:t>
      </w:r>
      <w:r w:rsidR="00AB7946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9.</w:t>
      </w:r>
      <w:r w:rsidR="0046396E" w:rsidRPr="001B2C4E">
        <w:rPr>
          <w:rFonts w:ascii="Arial" w:hAnsi="Arial" w:cs="Arial"/>
          <w:color w:val="000000" w:themeColor="text1"/>
          <w:sz w:val="22"/>
          <w:szCs w:val="22"/>
        </w:rPr>
        <w:t>589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şube (yurtiçinde) </w:t>
      </w:r>
      <w:r w:rsidR="00774832" w:rsidRPr="001B2C4E">
        <w:rPr>
          <w:rFonts w:ascii="Arial" w:hAnsi="Arial" w:cs="Arial"/>
          <w:color w:val="000000" w:themeColor="text1"/>
          <w:sz w:val="22"/>
          <w:szCs w:val="22"/>
        </w:rPr>
        <w:t>bulunmaktadır</w:t>
      </w:r>
      <w:r w:rsidR="00FE356C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A43A03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649" w:rsidRPr="001B2C4E">
        <w:rPr>
          <w:rFonts w:ascii="Arial" w:hAnsi="Arial" w:cs="Arial"/>
          <w:color w:val="000000" w:themeColor="text1"/>
          <w:sz w:val="22"/>
          <w:szCs w:val="22"/>
        </w:rPr>
        <w:t>Ban</w:t>
      </w:r>
      <w:r w:rsidR="00872EEC" w:rsidRPr="001B2C4E">
        <w:rPr>
          <w:rFonts w:ascii="Arial" w:hAnsi="Arial" w:cs="Arial"/>
          <w:color w:val="000000" w:themeColor="text1"/>
          <w:sz w:val="22"/>
          <w:szCs w:val="22"/>
        </w:rPr>
        <w:t xml:space="preserve">kaların yurtiçi </w:t>
      </w:r>
      <w:r w:rsidR="00D83FDA" w:rsidRPr="001B2C4E">
        <w:rPr>
          <w:rFonts w:ascii="Arial" w:hAnsi="Arial" w:cs="Arial"/>
          <w:color w:val="000000" w:themeColor="text1"/>
          <w:sz w:val="22"/>
          <w:szCs w:val="22"/>
        </w:rPr>
        <w:t xml:space="preserve">birimlerinde 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(genel müdürlükler dahil) </w:t>
      </w:r>
      <w:r w:rsidR="0046396E" w:rsidRPr="001B2C4E">
        <w:rPr>
          <w:rFonts w:ascii="Arial" w:hAnsi="Arial" w:cs="Arial"/>
          <w:color w:val="000000" w:themeColor="text1"/>
          <w:sz w:val="22"/>
          <w:szCs w:val="22"/>
        </w:rPr>
        <w:t>187.902</w:t>
      </w:r>
      <w:r w:rsidR="002314C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649" w:rsidRPr="001B2C4E">
        <w:rPr>
          <w:rFonts w:ascii="Arial" w:hAnsi="Arial" w:cs="Arial"/>
          <w:color w:val="000000" w:themeColor="text1"/>
          <w:sz w:val="22"/>
          <w:szCs w:val="22"/>
        </w:rPr>
        <w:t>kişi istihdam edilm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iştir. </w:t>
      </w:r>
    </w:p>
    <w:p w:rsidR="00D864E3" w:rsidRPr="001B2C4E" w:rsidRDefault="0046396E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Bankaların 35</w:t>
      </w:r>
      <w:r w:rsidR="00D864E3" w:rsidRPr="001B2C4E">
        <w:rPr>
          <w:rFonts w:ascii="Arial" w:hAnsi="Arial" w:cs="Arial"/>
          <w:color w:val="000000" w:themeColor="text1"/>
          <w:sz w:val="22"/>
          <w:szCs w:val="22"/>
        </w:rPr>
        <w:t xml:space="preserve"> tanesi mevduat bankası,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16’sı</w:t>
      </w:r>
      <w:r w:rsidR="00D864E3" w:rsidRPr="001B2C4E">
        <w:rPr>
          <w:rFonts w:ascii="Arial" w:hAnsi="Arial" w:cs="Arial"/>
          <w:color w:val="000000" w:themeColor="text1"/>
          <w:sz w:val="22"/>
          <w:szCs w:val="22"/>
        </w:rPr>
        <w:t xml:space="preserve"> ise kalkınma ve yatırım bankasıdır. </w:t>
      </w:r>
    </w:p>
    <w:p w:rsidR="00992405" w:rsidRPr="001B2C4E" w:rsidRDefault="0046396E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Beş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 banka 81 ilin tamamında faaliyet göstermektedir. Bu bankalardan </w:t>
      </w:r>
      <w:r w:rsidR="00707F47" w:rsidRPr="001B2C4E">
        <w:rPr>
          <w:rFonts w:ascii="Arial" w:hAnsi="Arial" w:cs="Arial"/>
          <w:color w:val="000000" w:themeColor="text1"/>
          <w:sz w:val="22"/>
          <w:szCs w:val="22"/>
        </w:rPr>
        <w:t>üçü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 kamu bankası, </w:t>
      </w:r>
      <w:r w:rsidR="007D50E9" w:rsidRPr="001B2C4E">
        <w:rPr>
          <w:rFonts w:ascii="Arial" w:hAnsi="Arial" w:cs="Arial"/>
          <w:color w:val="000000" w:themeColor="text1"/>
          <w:sz w:val="22"/>
          <w:szCs w:val="22"/>
        </w:rPr>
        <w:t xml:space="preserve">biri özel,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biri</w:t>
      </w:r>
      <w:r w:rsidR="000417F9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7F25" w:rsidRPr="001B2C4E">
        <w:rPr>
          <w:rFonts w:ascii="Arial" w:hAnsi="Arial" w:cs="Arial"/>
          <w:color w:val="000000" w:themeColor="text1"/>
          <w:sz w:val="22"/>
          <w:szCs w:val="22"/>
        </w:rPr>
        <w:t>yurtdışında yerleşiklere ait</w:t>
      </w:r>
      <w:r w:rsidR="002314C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olan </w:t>
      </w:r>
      <w:r w:rsidR="00F74653" w:rsidRPr="001B2C4E">
        <w:rPr>
          <w:rFonts w:ascii="Arial" w:hAnsi="Arial" w:cs="Arial"/>
          <w:color w:val="000000" w:themeColor="text1"/>
          <w:sz w:val="22"/>
          <w:szCs w:val="22"/>
        </w:rPr>
        <w:t>bankadır.</w:t>
      </w:r>
      <w:r w:rsidR="00A31DE1" w:rsidRPr="001B2C4E">
        <w:rPr>
          <w:rFonts w:ascii="Arial" w:hAnsi="Arial" w:cs="Arial"/>
          <w:color w:val="000000" w:themeColor="text1"/>
          <w:sz w:val="22"/>
          <w:szCs w:val="22"/>
        </w:rPr>
        <w:t xml:space="preserve"> Bir banka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961</w:t>
      </w:r>
      <w:r w:rsidR="00930E3F" w:rsidRPr="001B2C4E">
        <w:rPr>
          <w:rFonts w:ascii="Arial" w:hAnsi="Arial" w:cs="Arial"/>
          <w:color w:val="000000" w:themeColor="text1"/>
          <w:sz w:val="22"/>
          <w:szCs w:val="22"/>
        </w:rPr>
        <w:t xml:space="preserve"> ilçede</w:t>
      </w:r>
      <w:r w:rsidR="00F70944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>faaliyet göst</w:t>
      </w:r>
      <w:r w:rsidR="00F304AF" w:rsidRPr="001B2C4E">
        <w:rPr>
          <w:rFonts w:ascii="Arial" w:hAnsi="Arial" w:cs="Arial"/>
          <w:color w:val="000000" w:themeColor="text1"/>
          <w:sz w:val="22"/>
          <w:szCs w:val="22"/>
        </w:rPr>
        <w:t xml:space="preserve">erirken, iki banka sırasıyla </w:t>
      </w:r>
      <w:r w:rsidR="00C724E9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023190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ve 466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1E3C" w:rsidRPr="001B2C4E">
        <w:rPr>
          <w:rFonts w:ascii="Arial" w:hAnsi="Arial" w:cs="Arial"/>
          <w:color w:val="000000" w:themeColor="text1"/>
          <w:sz w:val="22"/>
          <w:szCs w:val="22"/>
        </w:rPr>
        <w:t xml:space="preserve">ilçede faaliyet göstermektedir. 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>50’den fazla ilde f</w:t>
      </w:r>
      <w:r w:rsidR="00A31DE1" w:rsidRPr="001B2C4E">
        <w:rPr>
          <w:rFonts w:ascii="Arial" w:hAnsi="Arial" w:cs="Arial"/>
          <w:color w:val="000000" w:themeColor="text1"/>
          <w:sz w:val="22"/>
          <w:szCs w:val="22"/>
        </w:rPr>
        <w:t>aaliyet gösteren banka sayısı 1</w:t>
      </w:r>
      <w:r w:rsidR="00023190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="00930E3F" w:rsidRPr="001B2C4E">
        <w:rPr>
          <w:rFonts w:ascii="Arial" w:hAnsi="Arial" w:cs="Arial"/>
          <w:color w:val="000000" w:themeColor="text1"/>
          <w:sz w:val="22"/>
          <w:szCs w:val="22"/>
        </w:rPr>
        <w:t>’di</w:t>
      </w:r>
      <w:r w:rsidR="00A31DE1" w:rsidRPr="001B2C4E">
        <w:rPr>
          <w:rFonts w:ascii="Arial" w:hAnsi="Arial" w:cs="Arial"/>
          <w:color w:val="000000" w:themeColor="text1"/>
          <w:sz w:val="22"/>
          <w:szCs w:val="22"/>
        </w:rPr>
        <w:t>r.</w:t>
      </w:r>
      <w:r w:rsidR="001C137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Bankaların</w:t>
      </w:r>
      <w:r w:rsidR="001C137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22</w:t>
      </w:r>
      <w:r w:rsidR="00023190" w:rsidRPr="001B2C4E">
        <w:rPr>
          <w:rFonts w:ascii="Arial" w:hAnsi="Arial" w:cs="Arial"/>
          <w:color w:val="000000" w:themeColor="text1"/>
          <w:sz w:val="22"/>
          <w:szCs w:val="22"/>
        </w:rPr>
        <w:t>’si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 ise sadece bir ilde/ilçede faaliyet göstermektedir. </w:t>
      </w:r>
      <w:r w:rsidR="001C35EC" w:rsidRPr="001B2C4E">
        <w:rPr>
          <w:rFonts w:ascii="Arial" w:hAnsi="Arial" w:cs="Arial"/>
          <w:color w:val="000000" w:themeColor="text1"/>
          <w:sz w:val="22"/>
          <w:szCs w:val="22"/>
        </w:rPr>
        <w:t>(Ek Tablo 1</w:t>
      </w:r>
      <w:r w:rsidR="00775FD4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A66B1" w:rsidRPr="001B2C4E" w:rsidRDefault="00990905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İstanbul </w:t>
      </w:r>
      <w:r w:rsidR="00C724E9" w:rsidRPr="001B2C4E">
        <w:rPr>
          <w:rFonts w:ascii="Arial" w:hAnsi="Arial" w:cs="Arial"/>
          <w:color w:val="000000" w:themeColor="text1"/>
          <w:sz w:val="22"/>
          <w:szCs w:val="22"/>
        </w:rPr>
        <w:t>2.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1C1EE9" w:rsidRPr="001B2C4E">
        <w:rPr>
          <w:rFonts w:ascii="Arial" w:hAnsi="Arial" w:cs="Arial"/>
          <w:color w:val="000000" w:themeColor="text1"/>
          <w:sz w:val="22"/>
          <w:szCs w:val="22"/>
        </w:rPr>
        <w:t>06</w:t>
      </w:r>
      <w:r w:rsidR="003A66B1" w:rsidRPr="001B2C4E">
        <w:rPr>
          <w:rFonts w:ascii="Arial" w:hAnsi="Arial" w:cs="Arial"/>
          <w:color w:val="000000" w:themeColor="text1"/>
          <w:sz w:val="22"/>
          <w:szCs w:val="22"/>
        </w:rPr>
        <w:t xml:space="preserve"> şube </w:t>
      </w:r>
      <w:r w:rsidR="00326F80" w:rsidRPr="001B2C4E">
        <w:rPr>
          <w:rFonts w:ascii="Arial" w:hAnsi="Arial" w:cs="Arial"/>
          <w:color w:val="000000" w:themeColor="text1"/>
          <w:sz w:val="22"/>
          <w:szCs w:val="22"/>
        </w:rPr>
        <w:t xml:space="preserve">ve yüzde </w:t>
      </w:r>
      <w:r w:rsidR="009C64D6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6</w:t>
      </w:r>
      <w:r w:rsidR="00326F80" w:rsidRPr="001B2C4E">
        <w:rPr>
          <w:rFonts w:ascii="Arial" w:hAnsi="Arial" w:cs="Arial"/>
          <w:color w:val="000000" w:themeColor="text1"/>
          <w:sz w:val="22"/>
          <w:szCs w:val="22"/>
        </w:rPr>
        <w:t xml:space="preserve"> pay ile</w:t>
      </w:r>
      <w:r w:rsidR="003A66B1" w:rsidRPr="001B2C4E">
        <w:rPr>
          <w:rFonts w:ascii="Arial" w:hAnsi="Arial" w:cs="Arial"/>
          <w:color w:val="000000" w:themeColor="text1"/>
          <w:sz w:val="22"/>
          <w:szCs w:val="22"/>
        </w:rPr>
        <w:t xml:space="preserve"> en çok şubeye sahip olan bölgedir.</w:t>
      </w:r>
      <w:r w:rsidR="00112FE4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64D6" w:rsidRPr="001B2C4E">
        <w:rPr>
          <w:rFonts w:ascii="Arial" w:hAnsi="Arial" w:cs="Arial"/>
          <w:color w:val="000000" w:themeColor="text1"/>
          <w:sz w:val="22"/>
          <w:szCs w:val="22"/>
        </w:rPr>
        <w:t>İstanbul’u 1.</w:t>
      </w:r>
      <w:r w:rsidR="001C1EE9" w:rsidRPr="001B2C4E">
        <w:rPr>
          <w:rFonts w:ascii="Arial" w:hAnsi="Arial" w:cs="Arial"/>
          <w:color w:val="000000" w:themeColor="text1"/>
          <w:sz w:val="22"/>
          <w:szCs w:val="22"/>
        </w:rPr>
        <w:t>436</w:t>
      </w:r>
      <w:r w:rsidR="003A66B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4CC" w:rsidRPr="001B2C4E">
        <w:rPr>
          <w:rFonts w:ascii="Arial" w:hAnsi="Arial" w:cs="Arial"/>
          <w:color w:val="000000" w:themeColor="text1"/>
          <w:sz w:val="22"/>
          <w:szCs w:val="22"/>
        </w:rPr>
        <w:t>şube ve yüzde 15 pay ile Ege,</w:t>
      </w:r>
      <w:r w:rsidR="00CC66F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1.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="0005148B" w:rsidRPr="001B2C4E">
        <w:rPr>
          <w:rFonts w:ascii="Arial" w:hAnsi="Arial" w:cs="Arial"/>
          <w:color w:val="000000" w:themeColor="text1"/>
          <w:sz w:val="22"/>
          <w:szCs w:val="22"/>
        </w:rPr>
        <w:t>38</w:t>
      </w:r>
      <w:r w:rsidR="003A66B1" w:rsidRPr="001B2C4E">
        <w:rPr>
          <w:rFonts w:ascii="Arial" w:hAnsi="Arial" w:cs="Arial"/>
          <w:color w:val="000000" w:themeColor="text1"/>
          <w:sz w:val="22"/>
          <w:szCs w:val="22"/>
        </w:rPr>
        <w:t xml:space="preserve"> şube ve yüzde 12 pay ile Batı Anadolu bölgeleri izlemektedir. </w:t>
      </w:r>
      <w:r w:rsidR="001C35EC" w:rsidRPr="001B2C4E">
        <w:rPr>
          <w:rFonts w:ascii="Arial" w:hAnsi="Arial" w:cs="Arial"/>
          <w:color w:val="000000" w:themeColor="text1"/>
          <w:sz w:val="22"/>
          <w:szCs w:val="22"/>
        </w:rPr>
        <w:t>(Ek Tablo 2</w:t>
      </w:r>
      <w:r w:rsidR="00775FD4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46774D" w:rsidRPr="005F7530" w:rsidRDefault="00D56762" w:rsidP="006B5986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00094D">
        <w:rPr>
          <w:rFonts w:ascii="Arial" w:hAnsi="Arial" w:cs="Arial"/>
          <w:color w:val="000000" w:themeColor="text1"/>
          <w:sz w:val="22"/>
          <w:szCs w:val="22"/>
        </w:rPr>
        <w:t>Türkiye’de 20</w:t>
      </w:r>
      <w:r w:rsidR="007E128A" w:rsidRPr="0000094D">
        <w:rPr>
          <w:rFonts w:ascii="Arial" w:hAnsi="Arial" w:cs="Arial"/>
          <w:color w:val="000000" w:themeColor="text1"/>
          <w:sz w:val="22"/>
          <w:szCs w:val="22"/>
        </w:rPr>
        <w:t>2</w:t>
      </w:r>
      <w:r w:rsidR="0005148B" w:rsidRPr="0000094D">
        <w:rPr>
          <w:rFonts w:ascii="Arial" w:hAnsi="Arial" w:cs="Arial"/>
          <w:color w:val="000000" w:themeColor="text1"/>
          <w:sz w:val="22"/>
          <w:szCs w:val="22"/>
        </w:rPr>
        <w:t>2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sonunda en fazla ban</w:t>
      </w:r>
      <w:r w:rsidR="00266E77" w:rsidRPr="0000094D">
        <w:rPr>
          <w:rFonts w:ascii="Arial" w:hAnsi="Arial" w:cs="Arial"/>
          <w:color w:val="000000" w:themeColor="text1"/>
          <w:sz w:val="22"/>
          <w:szCs w:val="22"/>
        </w:rPr>
        <w:t xml:space="preserve">ka şubesinin bulunduğu ilçe, </w:t>
      </w:r>
      <w:r w:rsidR="00BE1783" w:rsidRPr="0000094D">
        <w:rPr>
          <w:rFonts w:ascii="Arial" w:hAnsi="Arial" w:cs="Arial"/>
          <w:color w:val="000000" w:themeColor="text1"/>
          <w:sz w:val="22"/>
          <w:szCs w:val="22"/>
        </w:rPr>
        <w:t>4</w:t>
      </w:r>
      <w:r w:rsidR="0000094D" w:rsidRPr="0000094D">
        <w:rPr>
          <w:rFonts w:ascii="Arial" w:hAnsi="Arial" w:cs="Arial"/>
          <w:color w:val="000000" w:themeColor="text1"/>
          <w:sz w:val="22"/>
          <w:szCs w:val="22"/>
        </w:rPr>
        <w:t>08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şube ile Ankara Çankaya olmuştur. </w:t>
      </w:r>
      <w:r w:rsidR="00EF2527" w:rsidRPr="0000094D">
        <w:rPr>
          <w:rFonts w:ascii="Arial" w:hAnsi="Arial" w:cs="Arial"/>
          <w:color w:val="000000" w:themeColor="text1"/>
          <w:sz w:val="22"/>
          <w:szCs w:val="22"/>
        </w:rPr>
        <w:t xml:space="preserve">Daha sonra </w:t>
      </w:r>
      <w:r w:rsidR="00082569" w:rsidRPr="0000094D">
        <w:rPr>
          <w:rFonts w:ascii="Arial" w:hAnsi="Arial" w:cs="Arial"/>
          <w:color w:val="000000" w:themeColor="text1"/>
          <w:sz w:val="22"/>
          <w:szCs w:val="22"/>
        </w:rPr>
        <w:t>2</w:t>
      </w:r>
      <w:r w:rsidR="0000094D" w:rsidRPr="0000094D">
        <w:rPr>
          <w:rFonts w:ascii="Arial" w:hAnsi="Arial" w:cs="Arial"/>
          <w:color w:val="000000" w:themeColor="text1"/>
          <w:sz w:val="22"/>
          <w:szCs w:val="22"/>
        </w:rPr>
        <w:t>49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527" w:rsidRPr="0000094D">
        <w:rPr>
          <w:rFonts w:ascii="Arial" w:hAnsi="Arial" w:cs="Arial"/>
          <w:color w:val="000000" w:themeColor="text1"/>
          <w:sz w:val="22"/>
          <w:szCs w:val="22"/>
        </w:rPr>
        <w:t>şube ile İstanbul Kadıköy v</w:t>
      </w:r>
      <w:r w:rsidR="00DB35B6" w:rsidRPr="0000094D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00094D" w:rsidRPr="0000094D">
        <w:rPr>
          <w:rFonts w:ascii="Arial" w:hAnsi="Arial" w:cs="Arial"/>
          <w:color w:val="000000" w:themeColor="text1"/>
          <w:sz w:val="22"/>
          <w:szCs w:val="22"/>
        </w:rPr>
        <w:t>197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şube ile </w:t>
      </w:r>
      <w:r w:rsidR="006D32B4" w:rsidRPr="0000094D">
        <w:rPr>
          <w:rFonts w:ascii="Arial" w:hAnsi="Arial" w:cs="Arial"/>
          <w:color w:val="000000" w:themeColor="text1"/>
          <w:sz w:val="22"/>
          <w:szCs w:val="22"/>
        </w:rPr>
        <w:t>İstanbul Şişli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ilçeleri gelmektedir.</w:t>
      </w:r>
      <w:r w:rsidR="00573112" w:rsidRPr="0000094D">
        <w:rPr>
          <w:rFonts w:ascii="Arial" w:hAnsi="Arial" w:cs="Arial"/>
          <w:color w:val="000000" w:themeColor="text1"/>
          <w:sz w:val="22"/>
          <w:szCs w:val="22"/>
        </w:rPr>
        <w:t xml:space="preserve"> Toplam </w:t>
      </w:r>
      <w:r w:rsidR="00BE1783" w:rsidRPr="0000094D">
        <w:rPr>
          <w:rFonts w:ascii="Arial" w:hAnsi="Arial" w:cs="Arial"/>
          <w:color w:val="000000" w:themeColor="text1"/>
          <w:sz w:val="22"/>
          <w:szCs w:val="22"/>
        </w:rPr>
        <w:t>3</w:t>
      </w:r>
      <w:r w:rsidR="0000094D" w:rsidRPr="0000094D">
        <w:rPr>
          <w:rFonts w:ascii="Arial" w:hAnsi="Arial" w:cs="Arial"/>
          <w:color w:val="000000" w:themeColor="text1"/>
          <w:sz w:val="22"/>
          <w:szCs w:val="22"/>
        </w:rPr>
        <w:t>55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ilçede tek bir banka şubesi faaliyet göstermektedir. İs</w:t>
      </w:r>
      <w:r w:rsidR="0067146F" w:rsidRPr="0000094D">
        <w:rPr>
          <w:rFonts w:ascii="Arial" w:hAnsi="Arial" w:cs="Arial"/>
          <w:color w:val="000000" w:themeColor="text1"/>
          <w:sz w:val="22"/>
          <w:szCs w:val="22"/>
        </w:rPr>
        <w:t xml:space="preserve">tanbul, Ankara ve İzmir’de </w:t>
      </w:r>
      <w:r w:rsidR="000F4EF7" w:rsidRPr="0000094D">
        <w:rPr>
          <w:rFonts w:ascii="Arial" w:hAnsi="Arial" w:cs="Arial"/>
          <w:color w:val="000000" w:themeColor="text1"/>
          <w:sz w:val="22"/>
          <w:szCs w:val="22"/>
        </w:rPr>
        <w:t>4.</w:t>
      </w:r>
      <w:r w:rsidR="0000094D" w:rsidRPr="0000094D">
        <w:rPr>
          <w:rFonts w:ascii="Arial" w:hAnsi="Arial" w:cs="Arial"/>
          <w:color w:val="000000" w:themeColor="text1"/>
          <w:sz w:val="22"/>
          <w:szCs w:val="22"/>
        </w:rPr>
        <w:t>065</w:t>
      </w:r>
      <w:r w:rsidR="006D32B4" w:rsidRPr="0000094D">
        <w:rPr>
          <w:rFonts w:ascii="Arial" w:hAnsi="Arial" w:cs="Arial"/>
          <w:color w:val="000000" w:themeColor="text1"/>
          <w:sz w:val="22"/>
          <w:szCs w:val="22"/>
        </w:rPr>
        <w:t xml:space="preserve"> adet şube, </w:t>
      </w:r>
      <w:r w:rsidR="00BF0298" w:rsidRPr="0000094D">
        <w:rPr>
          <w:rFonts w:ascii="Arial" w:hAnsi="Arial" w:cs="Arial"/>
          <w:color w:val="000000" w:themeColor="text1"/>
          <w:sz w:val="22"/>
          <w:szCs w:val="22"/>
        </w:rPr>
        <w:t>toplam yurtiçi şubelerin yüzde 4</w:t>
      </w:r>
      <w:r w:rsidR="00B62028" w:rsidRPr="0000094D">
        <w:rPr>
          <w:rFonts w:ascii="Arial" w:hAnsi="Arial" w:cs="Arial"/>
          <w:color w:val="000000" w:themeColor="text1"/>
          <w:sz w:val="22"/>
          <w:szCs w:val="22"/>
        </w:rPr>
        <w:t>2</w:t>
      </w:r>
      <w:r w:rsidR="00EF2527" w:rsidRPr="0000094D">
        <w:rPr>
          <w:rFonts w:ascii="Arial" w:hAnsi="Arial" w:cs="Arial"/>
          <w:color w:val="000000" w:themeColor="text1"/>
          <w:sz w:val="22"/>
          <w:szCs w:val="22"/>
        </w:rPr>
        <w:t>’</w:t>
      </w:r>
      <w:r w:rsidR="00B62028" w:rsidRPr="0000094D">
        <w:rPr>
          <w:rFonts w:ascii="Arial" w:hAnsi="Arial" w:cs="Arial"/>
          <w:color w:val="000000" w:themeColor="text1"/>
          <w:sz w:val="22"/>
          <w:szCs w:val="22"/>
        </w:rPr>
        <w:t>sini</w:t>
      </w:r>
      <w:r w:rsidR="0046774D" w:rsidRPr="0000094D">
        <w:rPr>
          <w:rFonts w:ascii="Arial" w:hAnsi="Arial" w:cs="Arial"/>
          <w:color w:val="000000" w:themeColor="text1"/>
          <w:sz w:val="22"/>
          <w:szCs w:val="22"/>
        </w:rPr>
        <w:t xml:space="preserve"> oluşturmaktadır.</w:t>
      </w:r>
    </w:p>
    <w:p w:rsidR="00F06649" w:rsidRPr="001B2C4E" w:rsidRDefault="00AB3DA1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>Türkiye’de 20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05148B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F06649" w:rsidRPr="001B2C4E">
        <w:rPr>
          <w:rFonts w:ascii="Arial" w:hAnsi="Arial" w:cs="Arial"/>
          <w:color w:val="000000" w:themeColor="text1"/>
          <w:sz w:val="22"/>
          <w:szCs w:val="22"/>
        </w:rPr>
        <w:t xml:space="preserve"> sonunda en fazla ban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ka personelinin çalıştığı il, </w:t>
      </w:r>
      <w:r w:rsidR="0005148B" w:rsidRPr="001B2C4E">
        <w:rPr>
          <w:rFonts w:ascii="Arial" w:hAnsi="Arial" w:cs="Arial"/>
          <w:color w:val="000000" w:themeColor="text1"/>
          <w:sz w:val="22"/>
          <w:szCs w:val="22"/>
        </w:rPr>
        <w:t>84.728</w:t>
      </w:r>
      <w:r w:rsidR="00930E3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649" w:rsidRPr="001B2C4E">
        <w:rPr>
          <w:rFonts w:ascii="Arial" w:hAnsi="Arial" w:cs="Arial"/>
          <w:color w:val="000000" w:themeColor="text1"/>
          <w:sz w:val="22"/>
          <w:szCs w:val="22"/>
        </w:rPr>
        <w:t xml:space="preserve">kişi ile </w:t>
      </w:r>
      <w:r w:rsidR="00F70944" w:rsidRPr="001B2C4E">
        <w:rPr>
          <w:rFonts w:ascii="Arial" w:hAnsi="Arial" w:cs="Arial"/>
          <w:color w:val="000000" w:themeColor="text1"/>
          <w:sz w:val="22"/>
          <w:szCs w:val="22"/>
        </w:rPr>
        <w:t xml:space="preserve">genel müdürlüklerin </w:t>
      </w:r>
      <w:r w:rsidR="00083DCD" w:rsidRPr="001B2C4E">
        <w:rPr>
          <w:rFonts w:ascii="Arial" w:hAnsi="Arial" w:cs="Arial"/>
          <w:color w:val="000000" w:themeColor="text1"/>
          <w:sz w:val="22"/>
          <w:szCs w:val="22"/>
        </w:rPr>
        <w:t xml:space="preserve">tamamına yakınının </w:t>
      </w:r>
      <w:r w:rsidR="00F70944" w:rsidRPr="001B2C4E">
        <w:rPr>
          <w:rFonts w:ascii="Arial" w:hAnsi="Arial" w:cs="Arial"/>
          <w:color w:val="000000" w:themeColor="text1"/>
          <w:sz w:val="22"/>
          <w:szCs w:val="22"/>
        </w:rPr>
        <w:t xml:space="preserve">bulunduğu </w:t>
      </w:r>
      <w:r w:rsidR="00F06649" w:rsidRPr="001B2C4E">
        <w:rPr>
          <w:rFonts w:ascii="Arial" w:hAnsi="Arial" w:cs="Arial"/>
          <w:color w:val="000000" w:themeColor="text1"/>
          <w:sz w:val="22"/>
          <w:szCs w:val="22"/>
        </w:rPr>
        <w:t xml:space="preserve">İstanbul olmuştur. </w:t>
      </w:r>
      <w:r w:rsidR="0040697D" w:rsidRPr="001B2C4E">
        <w:rPr>
          <w:rFonts w:ascii="Arial" w:hAnsi="Arial" w:cs="Arial"/>
          <w:color w:val="000000" w:themeColor="text1"/>
          <w:sz w:val="22"/>
          <w:szCs w:val="22"/>
        </w:rPr>
        <w:t>Ank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ara ve İzmir’de sırasıyla </w:t>
      </w:r>
      <w:r w:rsidR="007D50E9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="00B14F45" w:rsidRPr="001B2C4E">
        <w:rPr>
          <w:rFonts w:ascii="Arial" w:hAnsi="Arial" w:cs="Arial"/>
          <w:color w:val="000000" w:themeColor="text1"/>
          <w:sz w:val="22"/>
          <w:szCs w:val="22"/>
        </w:rPr>
        <w:t>6.</w:t>
      </w:r>
      <w:r w:rsidR="0005148B" w:rsidRPr="001B2C4E">
        <w:rPr>
          <w:rFonts w:ascii="Arial" w:hAnsi="Arial" w:cs="Arial"/>
          <w:color w:val="000000" w:themeColor="text1"/>
          <w:sz w:val="22"/>
          <w:szCs w:val="22"/>
        </w:rPr>
        <w:t>547</w:t>
      </w:r>
      <w:r w:rsidR="00D4791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05148B" w:rsidRPr="001B2C4E">
        <w:rPr>
          <w:rFonts w:ascii="Arial" w:hAnsi="Arial" w:cs="Arial"/>
          <w:color w:val="000000" w:themeColor="text1"/>
          <w:sz w:val="22"/>
          <w:szCs w:val="22"/>
        </w:rPr>
        <w:t>10.038</w:t>
      </w:r>
      <w:r w:rsidR="00D4791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697D" w:rsidRPr="001B2C4E">
        <w:rPr>
          <w:rFonts w:ascii="Arial" w:hAnsi="Arial" w:cs="Arial"/>
          <w:color w:val="000000" w:themeColor="text1"/>
          <w:sz w:val="22"/>
          <w:szCs w:val="22"/>
        </w:rPr>
        <w:t>personel görev yapmaktadır.</w:t>
      </w:r>
      <w:r w:rsidR="001C35E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4D96" w:rsidRPr="001B2C4E" w:rsidRDefault="00F04D96" w:rsidP="006B5986">
      <w:pPr>
        <w:spacing w:before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 xml:space="preserve">2. </w:t>
      </w:r>
      <w:r w:rsidR="00F32423" w:rsidRPr="001B2C4E">
        <w:rPr>
          <w:rFonts w:ascii="Arial" w:hAnsi="Arial" w:cs="Arial"/>
          <w:b/>
          <w:color w:val="000000" w:themeColor="text1"/>
          <w:szCs w:val="24"/>
        </w:rPr>
        <w:t>İllere Göre ATM, POS ve Üye İşyeri Sayısı</w:t>
      </w:r>
    </w:p>
    <w:p w:rsidR="000245DA" w:rsidRPr="001B2C4E" w:rsidRDefault="00570C58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Bankacılık sektöründe</w:t>
      </w:r>
      <w:r w:rsidR="000A35A7" w:rsidRPr="001B2C4E">
        <w:rPr>
          <w:rFonts w:ascii="Arial" w:hAnsi="Arial" w:cs="Arial"/>
          <w:color w:val="000000" w:themeColor="text1"/>
          <w:sz w:val="22"/>
          <w:szCs w:val="22"/>
        </w:rPr>
        <w:t xml:space="preserve"> Aralık 20</w:t>
      </w:r>
      <w:r w:rsidR="007E128A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9127E8" w:rsidRPr="001B2C4E">
        <w:rPr>
          <w:rFonts w:ascii="Arial" w:hAnsi="Arial" w:cs="Arial"/>
          <w:color w:val="000000" w:themeColor="text1"/>
          <w:sz w:val="22"/>
          <w:szCs w:val="22"/>
        </w:rPr>
        <w:t xml:space="preserve"> itibariyle yurtiçinde 4</w:t>
      </w:r>
      <w:r w:rsidR="000A35A7" w:rsidRPr="001B2C4E">
        <w:rPr>
          <w:rFonts w:ascii="Arial" w:hAnsi="Arial" w:cs="Arial"/>
          <w:color w:val="000000" w:themeColor="text1"/>
          <w:sz w:val="22"/>
          <w:szCs w:val="22"/>
        </w:rPr>
        <w:t>6</w:t>
      </w:r>
      <w:r w:rsidR="00B7265D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156</w:t>
      </w:r>
      <w:r w:rsidR="00301CF0" w:rsidRPr="001B2C4E">
        <w:rPr>
          <w:rFonts w:ascii="Arial" w:hAnsi="Arial" w:cs="Arial"/>
          <w:color w:val="000000" w:themeColor="text1"/>
          <w:sz w:val="22"/>
          <w:szCs w:val="22"/>
        </w:rPr>
        <w:t xml:space="preserve"> ATM,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5.030.200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1CF0" w:rsidRPr="001B2C4E">
        <w:rPr>
          <w:rFonts w:ascii="Arial" w:hAnsi="Arial" w:cs="Arial"/>
          <w:color w:val="000000" w:themeColor="text1"/>
          <w:sz w:val="22"/>
          <w:szCs w:val="22"/>
        </w:rPr>
        <w:t xml:space="preserve">POS </w:t>
      </w:r>
      <w:r w:rsidR="003B1C68" w:rsidRPr="001B2C4E">
        <w:rPr>
          <w:rFonts w:ascii="Arial" w:hAnsi="Arial" w:cs="Arial"/>
          <w:color w:val="000000" w:themeColor="text1"/>
          <w:sz w:val="22"/>
          <w:szCs w:val="22"/>
        </w:rPr>
        <w:t xml:space="preserve">cihazı </w:t>
      </w:r>
      <w:r w:rsidR="000A35A7"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5.787.127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1CF0" w:rsidRPr="001B2C4E">
        <w:rPr>
          <w:rFonts w:ascii="Arial" w:hAnsi="Arial" w:cs="Arial"/>
          <w:color w:val="000000" w:themeColor="text1"/>
          <w:sz w:val="22"/>
          <w:szCs w:val="22"/>
        </w:rPr>
        <w:t xml:space="preserve">üye işyeri </w:t>
      </w:r>
      <w:r w:rsidR="00D17C43" w:rsidRPr="001B2C4E">
        <w:rPr>
          <w:rFonts w:ascii="Arial" w:hAnsi="Arial" w:cs="Arial"/>
          <w:color w:val="000000" w:themeColor="text1"/>
          <w:sz w:val="22"/>
          <w:szCs w:val="22"/>
        </w:rPr>
        <w:t>bulunmaktadır</w:t>
      </w:r>
      <w:r w:rsidR="00301CF0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DF063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095D" w:rsidRPr="001B2C4E">
        <w:rPr>
          <w:rFonts w:ascii="Arial" w:hAnsi="Arial" w:cs="Arial"/>
          <w:color w:val="000000" w:themeColor="text1"/>
          <w:sz w:val="22"/>
          <w:szCs w:val="22"/>
        </w:rPr>
        <w:t>En çok</w:t>
      </w:r>
      <w:r w:rsidR="001420E7" w:rsidRPr="001B2C4E">
        <w:rPr>
          <w:rFonts w:ascii="Arial" w:hAnsi="Arial" w:cs="Arial"/>
          <w:color w:val="000000" w:themeColor="text1"/>
          <w:sz w:val="22"/>
          <w:szCs w:val="22"/>
        </w:rPr>
        <w:t xml:space="preserve"> ATM sayısına sahip il, 11.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558</w:t>
      </w:r>
      <w:r w:rsidR="00D1239B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095D" w:rsidRPr="001B2C4E">
        <w:rPr>
          <w:rFonts w:ascii="Arial" w:hAnsi="Arial" w:cs="Arial"/>
          <w:color w:val="000000" w:themeColor="text1"/>
          <w:sz w:val="22"/>
          <w:szCs w:val="22"/>
        </w:rPr>
        <w:t>tane ile İstanbul’dur. Ankara ve İ</w:t>
      </w:r>
      <w:r w:rsidR="009127E8" w:rsidRPr="001B2C4E">
        <w:rPr>
          <w:rFonts w:ascii="Arial" w:hAnsi="Arial" w:cs="Arial"/>
          <w:color w:val="000000" w:themeColor="text1"/>
          <w:sz w:val="22"/>
          <w:szCs w:val="22"/>
        </w:rPr>
        <w:t xml:space="preserve">zmir’de sırasıyla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3.973</w:t>
      </w:r>
      <w:r w:rsidR="000A35A7" w:rsidRPr="001B2C4E">
        <w:rPr>
          <w:rFonts w:ascii="Arial" w:hAnsi="Arial" w:cs="Arial"/>
          <w:color w:val="000000" w:themeColor="text1"/>
          <w:sz w:val="22"/>
          <w:szCs w:val="22"/>
        </w:rPr>
        <w:t xml:space="preserve"> ve 3.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096</w:t>
      </w:r>
      <w:r w:rsidR="00FF095D" w:rsidRPr="001B2C4E">
        <w:rPr>
          <w:rFonts w:ascii="Arial" w:hAnsi="Arial" w:cs="Arial"/>
          <w:color w:val="000000" w:themeColor="text1"/>
          <w:sz w:val="22"/>
          <w:szCs w:val="22"/>
        </w:rPr>
        <w:t xml:space="preserve"> ATM bulunmaktadır. </w:t>
      </w:r>
      <w:r w:rsidR="00BF5400" w:rsidRPr="001B2C4E">
        <w:rPr>
          <w:rFonts w:ascii="Arial" w:hAnsi="Arial" w:cs="Arial"/>
          <w:color w:val="000000" w:themeColor="text1"/>
          <w:sz w:val="22"/>
          <w:szCs w:val="22"/>
        </w:rPr>
        <w:t>En çok POS cihazı</w:t>
      </w:r>
      <w:r w:rsidR="003B1C68" w:rsidRPr="001B2C4E">
        <w:rPr>
          <w:rFonts w:ascii="Arial" w:hAnsi="Arial" w:cs="Arial"/>
          <w:color w:val="000000" w:themeColor="text1"/>
          <w:sz w:val="22"/>
          <w:szCs w:val="22"/>
        </w:rPr>
        <w:t xml:space="preserve"> sayısına </w:t>
      </w:r>
      <w:r w:rsidR="001420E7" w:rsidRPr="001B2C4E">
        <w:rPr>
          <w:rFonts w:ascii="Arial" w:hAnsi="Arial" w:cs="Arial"/>
          <w:color w:val="000000" w:themeColor="text1"/>
          <w:sz w:val="22"/>
          <w:szCs w:val="22"/>
        </w:rPr>
        <w:t xml:space="preserve">sahip il,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 xml:space="preserve">2.314.856 </w:t>
      </w:r>
      <w:r w:rsidR="003B1C68" w:rsidRPr="001B2C4E">
        <w:rPr>
          <w:rFonts w:ascii="Arial" w:hAnsi="Arial" w:cs="Arial"/>
          <w:color w:val="000000" w:themeColor="text1"/>
          <w:sz w:val="22"/>
          <w:szCs w:val="22"/>
        </w:rPr>
        <w:t xml:space="preserve">tane ile İstanbul’dur.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İzmir ve Ankara’da</w:t>
      </w:r>
      <w:r w:rsidR="00B7265D" w:rsidRPr="001B2C4E">
        <w:rPr>
          <w:rFonts w:ascii="Arial" w:hAnsi="Arial" w:cs="Arial"/>
          <w:color w:val="000000" w:themeColor="text1"/>
          <w:sz w:val="22"/>
          <w:szCs w:val="22"/>
        </w:rPr>
        <w:t xml:space="preserve"> sırasıyla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585.783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265D"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421.181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1C68" w:rsidRPr="001B2C4E">
        <w:rPr>
          <w:rFonts w:ascii="Arial" w:hAnsi="Arial" w:cs="Arial"/>
          <w:color w:val="000000" w:themeColor="text1"/>
          <w:sz w:val="22"/>
          <w:szCs w:val="22"/>
        </w:rPr>
        <w:t xml:space="preserve">tane POS cihazı bulunmaktadır. </w:t>
      </w:r>
    </w:p>
    <w:p w:rsidR="001A3BEF" w:rsidRPr="001B2C4E" w:rsidRDefault="003B1C68" w:rsidP="006B598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En çok üye işyerinin bulunduğu il, 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>2.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481.621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tane ile İstanbul’dur.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İzmir ve Ankara’da</w:t>
      </w:r>
      <w:r w:rsidR="001130E7" w:rsidRPr="001B2C4E">
        <w:rPr>
          <w:rFonts w:ascii="Arial" w:hAnsi="Arial" w:cs="Arial"/>
          <w:color w:val="000000" w:themeColor="text1"/>
          <w:sz w:val="22"/>
          <w:szCs w:val="22"/>
        </w:rPr>
        <w:t xml:space="preserve"> sırasıyla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676.084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30E7"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561.307</w:t>
      </w:r>
      <w:r w:rsidR="00B6202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üye işyeri bulunmaktadır. </w:t>
      </w:r>
      <w:r w:rsidR="001A3BEF" w:rsidRPr="001B2C4E">
        <w:rPr>
          <w:rFonts w:ascii="Arial" w:hAnsi="Arial" w:cs="Arial"/>
          <w:color w:val="000000" w:themeColor="text1"/>
          <w:sz w:val="22"/>
          <w:szCs w:val="22"/>
        </w:rPr>
        <w:t xml:space="preserve">Muğla’da her </w:t>
      </w:r>
      <w:r w:rsidR="00817527" w:rsidRPr="001B2C4E">
        <w:rPr>
          <w:rFonts w:ascii="Arial" w:hAnsi="Arial" w:cs="Arial"/>
          <w:color w:val="000000" w:themeColor="text1"/>
          <w:sz w:val="22"/>
          <w:szCs w:val="22"/>
        </w:rPr>
        <w:t>ATM</w:t>
      </w:r>
      <w:r w:rsidR="0035163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239B" w:rsidRPr="001B2C4E">
        <w:rPr>
          <w:rFonts w:ascii="Arial" w:hAnsi="Arial" w:cs="Arial"/>
          <w:color w:val="000000" w:themeColor="text1"/>
          <w:sz w:val="22"/>
          <w:szCs w:val="22"/>
        </w:rPr>
        <w:t>8</w:t>
      </w:r>
      <w:r w:rsidR="00471C1B" w:rsidRPr="001B2C4E">
        <w:rPr>
          <w:rFonts w:ascii="Arial" w:hAnsi="Arial" w:cs="Arial"/>
          <w:color w:val="000000" w:themeColor="text1"/>
          <w:sz w:val="22"/>
          <w:szCs w:val="22"/>
        </w:rPr>
        <w:t>80</w:t>
      </w:r>
      <w:r w:rsidR="001A3BE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7527" w:rsidRPr="001B2C4E">
        <w:rPr>
          <w:rFonts w:ascii="Arial" w:hAnsi="Arial" w:cs="Arial"/>
          <w:color w:val="000000" w:themeColor="text1"/>
          <w:sz w:val="22"/>
          <w:szCs w:val="22"/>
        </w:rPr>
        <w:t>kişiye hizmet vermektedir</w:t>
      </w:r>
      <w:r w:rsidR="00E52D5C" w:rsidRPr="001B2C4E">
        <w:rPr>
          <w:rFonts w:ascii="Arial" w:hAnsi="Arial" w:cs="Arial"/>
          <w:color w:val="000000" w:themeColor="text1"/>
          <w:sz w:val="22"/>
          <w:szCs w:val="22"/>
        </w:rPr>
        <w:t xml:space="preserve">. Bu sayı </w:t>
      </w:r>
      <w:r w:rsidR="00471C1B" w:rsidRPr="001B2C4E">
        <w:rPr>
          <w:rFonts w:ascii="Arial" w:hAnsi="Arial" w:cs="Arial"/>
          <w:color w:val="000000" w:themeColor="text1"/>
          <w:sz w:val="22"/>
          <w:szCs w:val="22"/>
        </w:rPr>
        <w:t xml:space="preserve">Edirne </w:t>
      </w:r>
      <w:r w:rsidR="00E52D5C" w:rsidRPr="001B2C4E">
        <w:rPr>
          <w:rFonts w:ascii="Arial" w:hAnsi="Arial" w:cs="Arial"/>
          <w:color w:val="000000" w:themeColor="text1"/>
          <w:sz w:val="22"/>
          <w:szCs w:val="22"/>
        </w:rPr>
        <w:t xml:space="preserve">için </w:t>
      </w:r>
      <w:r w:rsidR="00081BAB" w:rsidRPr="001B2C4E">
        <w:rPr>
          <w:rFonts w:ascii="Arial" w:hAnsi="Arial" w:cs="Arial"/>
          <w:color w:val="000000" w:themeColor="text1"/>
          <w:sz w:val="22"/>
          <w:szCs w:val="22"/>
        </w:rPr>
        <w:t>1.2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27</w:t>
      </w:r>
      <w:r w:rsidR="00E52D5C" w:rsidRPr="001B2C4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40CB" w:rsidRPr="001B2C4E">
        <w:rPr>
          <w:rFonts w:ascii="Arial" w:hAnsi="Arial" w:cs="Arial"/>
          <w:color w:val="000000" w:themeColor="text1"/>
          <w:sz w:val="22"/>
          <w:szCs w:val="22"/>
        </w:rPr>
        <w:t>Antalya</w:t>
      </w:r>
      <w:r w:rsidR="00E52D5C" w:rsidRPr="001B2C4E">
        <w:rPr>
          <w:rFonts w:ascii="Arial" w:hAnsi="Arial" w:cs="Arial"/>
          <w:color w:val="000000" w:themeColor="text1"/>
          <w:sz w:val="22"/>
          <w:szCs w:val="22"/>
        </w:rPr>
        <w:t xml:space="preserve"> için ise </w:t>
      </w:r>
      <w:r w:rsidR="00081BAB" w:rsidRPr="001B2C4E">
        <w:rPr>
          <w:rFonts w:ascii="Arial" w:hAnsi="Arial" w:cs="Arial"/>
          <w:color w:val="000000" w:themeColor="text1"/>
          <w:sz w:val="22"/>
          <w:szCs w:val="22"/>
        </w:rPr>
        <w:t>1.2</w:t>
      </w:r>
      <w:r w:rsidR="00471C1B" w:rsidRPr="001B2C4E">
        <w:rPr>
          <w:rFonts w:ascii="Arial" w:hAnsi="Arial" w:cs="Arial"/>
          <w:color w:val="000000" w:themeColor="text1"/>
          <w:sz w:val="22"/>
          <w:szCs w:val="22"/>
        </w:rPr>
        <w:t>51</w:t>
      </w:r>
      <w:r w:rsidR="00D1239B" w:rsidRPr="001B2C4E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1A3BEF" w:rsidRPr="001B2C4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6774D" w:rsidRPr="001B2C4E" w:rsidRDefault="00D53325" w:rsidP="006B5986">
      <w:pPr>
        <w:spacing w:before="120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3</w:t>
      </w:r>
      <w:r w:rsidR="00992405" w:rsidRPr="001B2C4E">
        <w:rPr>
          <w:rFonts w:ascii="Arial" w:hAnsi="Arial" w:cs="Arial"/>
          <w:b/>
          <w:color w:val="000000" w:themeColor="text1"/>
          <w:szCs w:val="24"/>
        </w:rPr>
        <w:t>. Nüfusa göre bankacılık hizmetleri</w:t>
      </w:r>
    </w:p>
    <w:p w:rsidR="00AA0018" w:rsidRPr="001B2C4E" w:rsidRDefault="00AA0018" w:rsidP="006B5986">
      <w:pPr>
        <w:spacing w:before="1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Türkiye ortalaması itibariyle her şube 8.</w:t>
      </w:r>
      <w:r w:rsidR="00D97453" w:rsidRPr="001B2C4E">
        <w:rPr>
          <w:rFonts w:ascii="Arial" w:hAnsi="Arial" w:cs="Arial"/>
          <w:color w:val="000000" w:themeColor="text1"/>
          <w:sz w:val="22"/>
          <w:szCs w:val="22"/>
        </w:rPr>
        <w:t>893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kişiye hizmet vermektedir. (Ek Tablo 4)</w:t>
      </w:r>
    </w:p>
    <w:p w:rsidR="00AA0018" w:rsidRPr="001B2C4E" w:rsidRDefault="00AA0018" w:rsidP="00AA0018">
      <w:pPr>
        <w:ind w:right="-599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AA0018" w:rsidRPr="001B2C4E" w:rsidRDefault="00AA0018" w:rsidP="00AA0018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Her Şubenin Hizmet Verdiği Kişi Sayısı</w:t>
      </w:r>
    </w:p>
    <w:p w:rsidR="00AA0018" w:rsidRPr="001B2C4E" w:rsidRDefault="00D97453" w:rsidP="00AA0018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noProof/>
          <w:color w:val="000000" w:themeColor="text1"/>
        </w:rPr>
        <w:lastRenderedPageBreak/>
        <w:drawing>
          <wp:inline distT="0" distB="0" distL="0" distR="0" wp14:anchorId="0F7288E8" wp14:editId="5020B627">
            <wp:extent cx="4000005" cy="1739040"/>
            <wp:effectExtent l="0" t="0" r="63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453" w:rsidRPr="001B2C4E" w:rsidRDefault="00AA0018" w:rsidP="0045150C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A</w:t>
      </w:r>
      <w:r w:rsidR="00D2013A" w:rsidRPr="001B2C4E">
        <w:rPr>
          <w:rFonts w:ascii="Arial" w:hAnsi="Arial" w:cs="Arial"/>
          <w:color w:val="000000" w:themeColor="text1"/>
          <w:sz w:val="22"/>
          <w:szCs w:val="22"/>
        </w:rPr>
        <w:t xml:space="preserve">rtvin’de </w:t>
      </w:r>
      <w:r w:rsidR="00240D27" w:rsidRPr="001B2C4E">
        <w:rPr>
          <w:rFonts w:ascii="Arial" w:hAnsi="Arial" w:cs="Arial"/>
          <w:color w:val="000000" w:themeColor="text1"/>
          <w:sz w:val="22"/>
          <w:szCs w:val="22"/>
        </w:rPr>
        <w:t>her</w:t>
      </w:r>
      <w:r w:rsidR="0035163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013A" w:rsidRPr="001B2C4E">
        <w:rPr>
          <w:rFonts w:ascii="Arial" w:hAnsi="Arial" w:cs="Arial"/>
          <w:color w:val="000000" w:themeColor="text1"/>
          <w:sz w:val="22"/>
          <w:szCs w:val="22"/>
        </w:rPr>
        <w:t xml:space="preserve">şube </w:t>
      </w:r>
      <w:r w:rsidR="00205E92" w:rsidRPr="001B2C4E">
        <w:rPr>
          <w:rFonts w:ascii="Arial" w:hAnsi="Arial" w:cs="Arial"/>
          <w:color w:val="000000" w:themeColor="text1"/>
          <w:sz w:val="22"/>
          <w:szCs w:val="22"/>
        </w:rPr>
        <w:t>5.</w:t>
      </w:r>
      <w:r w:rsidR="005248DA" w:rsidRPr="001B2C4E">
        <w:rPr>
          <w:rFonts w:ascii="Arial" w:hAnsi="Arial" w:cs="Arial"/>
          <w:color w:val="000000" w:themeColor="text1"/>
          <w:sz w:val="22"/>
          <w:szCs w:val="22"/>
        </w:rPr>
        <w:t>294</w:t>
      </w:r>
      <w:r w:rsidR="00351637" w:rsidRPr="001B2C4E">
        <w:rPr>
          <w:rFonts w:ascii="Arial" w:hAnsi="Arial" w:cs="Arial"/>
          <w:color w:val="000000" w:themeColor="text1"/>
          <w:sz w:val="22"/>
          <w:szCs w:val="22"/>
        </w:rPr>
        <w:t xml:space="preserve"> kişiye </w:t>
      </w:r>
      <w:r w:rsidR="00D2013A" w:rsidRPr="001B2C4E">
        <w:rPr>
          <w:rFonts w:ascii="Arial" w:hAnsi="Arial" w:cs="Arial"/>
          <w:color w:val="000000" w:themeColor="text1"/>
          <w:sz w:val="22"/>
          <w:szCs w:val="22"/>
        </w:rPr>
        <w:t>hizmet vermektedir</w:t>
      </w:r>
      <w:r w:rsidR="00B30898" w:rsidRPr="001B2C4E">
        <w:rPr>
          <w:rFonts w:ascii="Arial" w:hAnsi="Arial" w:cs="Arial"/>
          <w:color w:val="000000" w:themeColor="text1"/>
          <w:sz w:val="22"/>
          <w:szCs w:val="22"/>
        </w:rPr>
        <w:t xml:space="preserve">. Bu sayı </w:t>
      </w:r>
      <w:r w:rsidR="00D2013A" w:rsidRPr="001B2C4E">
        <w:rPr>
          <w:rFonts w:ascii="Arial" w:hAnsi="Arial" w:cs="Arial"/>
          <w:color w:val="000000" w:themeColor="text1"/>
          <w:sz w:val="22"/>
          <w:szCs w:val="22"/>
        </w:rPr>
        <w:t>Muğla</w:t>
      </w:r>
      <w:r w:rsidR="004A078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4DDD" w:rsidRPr="001B2C4E">
        <w:rPr>
          <w:rFonts w:ascii="Arial" w:hAnsi="Arial" w:cs="Arial"/>
          <w:color w:val="000000" w:themeColor="text1"/>
          <w:sz w:val="22"/>
          <w:szCs w:val="22"/>
        </w:rPr>
        <w:t>ve</w:t>
      </w:r>
      <w:r w:rsidR="00B3089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48DA" w:rsidRPr="001B2C4E">
        <w:rPr>
          <w:rFonts w:ascii="Arial" w:hAnsi="Arial" w:cs="Arial"/>
          <w:color w:val="000000" w:themeColor="text1"/>
          <w:sz w:val="22"/>
          <w:szCs w:val="22"/>
        </w:rPr>
        <w:t>İstanbul</w:t>
      </w:r>
      <w:r w:rsidR="004A0787" w:rsidRPr="001B2C4E">
        <w:rPr>
          <w:rFonts w:ascii="Arial" w:hAnsi="Arial" w:cs="Arial"/>
          <w:color w:val="000000" w:themeColor="text1"/>
          <w:sz w:val="22"/>
          <w:szCs w:val="22"/>
        </w:rPr>
        <w:t xml:space="preserve"> için </w:t>
      </w:r>
      <w:r w:rsidR="005248DA" w:rsidRPr="001B2C4E">
        <w:rPr>
          <w:rFonts w:ascii="Arial" w:hAnsi="Arial" w:cs="Arial"/>
          <w:color w:val="000000" w:themeColor="text1"/>
          <w:sz w:val="22"/>
          <w:szCs w:val="22"/>
        </w:rPr>
        <w:t>5.889</w:t>
      </w:r>
      <w:r w:rsidR="00A279D7" w:rsidRPr="001B2C4E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5248DA" w:rsidRPr="001B2C4E">
        <w:rPr>
          <w:rFonts w:ascii="Arial" w:hAnsi="Arial" w:cs="Arial"/>
          <w:color w:val="000000" w:themeColor="text1"/>
          <w:sz w:val="22"/>
          <w:szCs w:val="22"/>
        </w:rPr>
        <w:t>6.348’dir.</w:t>
      </w:r>
      <w:r w:rsidR="008129F0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83F54" w:rsidRPr="001B2C4E" w:rsidRDefault="00351637" w:rsidP="00D97453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Her </w:t>
      </w:r>
      <w:r w:rsidR="004B5F0D" w:rsidRPr="001B2C4E">
        <w:rPr>
          <w:rFonts w:ascii="Arial" w:hAnsi="Arial" w:cs="Arial"/>
          <w:b/>
          <w:color w:val="000000" w:themeColor="text1"/>
          <w:sz w:val="22"/>
          <w:szCs w:val="22"/>
        </w:rPr>
        <w:t>Şube</w:t>
      </w:r>
      <w:r w:rsidR="00D1217B" w:rsidRPr="001B2C4E">
        <w:rPr>
          <w:rFonts w:ascii="Arial" w:hAnsi="Arial" w:cs="Arial"/>
          <w:b/>
          <w:color w:val="000000" w:themeColor="text1"/>
          <w:sz w:val="22"/>
          <w:szCs w:val="22"/>
        </w:rPr>
        <w:t>nin Hizmet Verdiği Kişi Sayısı*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35"/>
        <w:gridCol w:w="1559"/>
        <w:gridCol w:w="2551"/>
      </w:tblGrid>
      <w:tr w:rsidR="005248DA" w:rsidRPr="001B2C4E" w:rsidTr="00B83F54">
        <w:trPr>
          <w:trHeight w:val="485"/>
          <w:jc w:val="center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rPr>
                <w:color w:val="000000" w:themeColor="text1"/>
                <w:sz w:val="20"/>
              </w:rPr>
            </w:pPr>
            <w:r w:rsidRPr="001B2C4E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</w:t>
            </w:r>
            <w:r w:rsidR="00D97453"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D97453"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Yüzde Değ.</w:t>
            </w:r>
          </w:p>
        </w:tc>
      </w:tr>
      <w:tr w:rsidR="005248DA" w:rsidRPr="001B2C4E" w:rsidTr="00D97453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Artvin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4.887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5.294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1B2C4E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5248DA" w:rsidRPr="001B2C4E" w:rsidTr="005248DA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Muğla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5.074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5.889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39C" w:rsidRPr="001B2C4E" w:rsidRDefault="005248DA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</w:tr>
      <w:tr w:rsidR="005248DA" w:rsidRPr="001B2C4E" w:rsidTr="005248DA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5.305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6.348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39C" w:rsidRPr="001B2C4E" w:rsidRDefault="005248DA" w:rsidP="00CB139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5248DA" w:rsidRPr="001B2C4E" w:rsidTr="00D97453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Türkiye ortalaması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7.709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8.893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1B2C4E" w:rsidRDefault="00D97453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45150C" w:rsidRPr="001B2C4E" w:rsidRDefault="00205E92" w:rsidP="0045150C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 20</w:t>
      </w:r>
      <w:r w:rsidR="00F61D33" w:rsidRPr="001B2C4E">
        <w:rPr>
          <w:rFonts w:ascii="Arial" w:hAnsi="Arial" w:cs="Arial"/>
          <w:color w:val="000000" w:themeColor="text1"/>
          <w:sz w:val="18"/>
          <w:szCs w:val="18"/>
        </w:rPr>
        <w:t>22</w:t>
      </w:r>
      <w:r w:rsidR="00A06207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615170" w:rsidRPr="001B2C4E" w:rsidRDefault="00AA0018" w:rsidP="0045150C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Türkiye genelinde kişi başına </w:t>
      </w:r>
      <w:r w:rsidR="00F46A7F" w:rsidRPr="001B2C4E">
        <w:rPr>
          <w:rFonts w:ascii="Arial" w:hAnsi="Arial" w:cs="Arial"/>
          <w:color w:val="000000" w:themeColor="text1"/>
          <w:sz w:val="22"/>
          <w:szCs w:val="22"/>
        </w:rPr>
        <w:t xml:space="preserve">mevduat </w:t>
      </w:r>
      <w:r w:rsidR="00880EAA" w:rsidRPr="001B2C4E">
        <w:rPr>
          <w:rFonts w:ascii="Arial" w:hAnsi="Arial" w:cs="Arial"/>
          <w:color w:val="000000" w:themeColor="text1"/>
          <w:sz w:val="22"/>
          <w:szCs w:val="22"/>
        </w:rPr>
        <w:t>97.474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TL</w:t>
      </w:r>
      <w:r w:rsidR="00F46A7F" w:rsidRPr="001B2C4E">
        <w:rPr>
          <w:rFonts w:ascii="Arial" w:hAnsi="Arial" w:cs="Arial"/>
          <w:color w:val="000000" w:themeColor="text1"/>
          <w:sz w:val="22"/>
          <w:szCs w:val="22"/>
        </w:rPr>
        <w:t xml:space="preserve">’dir.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(Ek Tablo 7)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 Türkiye nüfusunun</w:t>
      </w:r>
      <w:r w:rsidR="00615170" w:rsidRPr="001B2C4E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 yüzde 31’ine sahip olan üç büyük ilde, toplam mevduatın yüzde 6</w:t>
      </w:r>
      <w:r w:rsidR="00880EAA" w:rsidRPr="001B2C4E">
        <w:rPr>
          <w:rFonts w:ascii="Arial" w:hAnsi="Arial" w:cs="Arial"/>
          <w:color w:val="000000" w:themeColor="text1"/>
          <w:sz w:val="22"/>
          <w:szCs w:val="22"/>
        </w:rPr>
        <w:t>7’si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 xml:space="preserve"> ve toplam kredilerin yüzde </w:t>
      </w:r>
      <w:r w:rsidR="00880EAA" w:rsidRPr="001B2C4E">
        <w:rPr>
          <w:rFonts w:ascii="Arial" w:hAnsi="Arial" w:cs="Arial"/>
          <w:color w:val="000000" w:themeColor="text1"/>
          <w:sz w:val="22"/>
          <w:szCs w:val="22"/>
        </w:rPr>
        <w:t>60’ı</w:t>
      </w:r>
      <w:r w:rsidR="00615170" w:rsidRPr="001B2C4E">
        <w:rPr>
          <w:rFonts w:ascii="Arial" w:hAnsi="Arial" w:cs="Arial"/>
          <w:color w:val="000000" w:themeColor="text1"/>
          <w:sz w:val="22"/>
          <w:szCs w:val="22"/>
        </w:rPr>
        <w:t xml:space="preserve"> bulunmaktadır. (Ek Tablo 5 ve 6)</w:t>
      </w:r>
    </w:p>
    <w:p w:rsidR="00615170" w:rsidRPr="001B2C4E" w:rsidRDefault="0061517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A0018" w:rsidRPr="001B2C4E" w:rsidRDefault="00AA0018" w:rsidP="00AA0018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Kişi Başına Mevduat (TL)</w:t>
      </w:r>
    </w:p>
    <w:p w:rsidR="00AA0018" w:rsidRPr="001B2C4E" w:rsidRDefault="00880EAA" w:rsidP="00AA001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noProof/>
          <w:color w:val="000000" w:themeColor="text1"/>
        </w:rPr>
        <w:drawing>
          <wp:inline distT="0" distB="0" distL="0" distR="0" wp14:anchorId="5D001C45" wp14:editId="6CA8F6A7">
            <wp:extent cx="4034295" cy="1739040"/>
            <wp:effectExtent l="0" t="0" r="444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0EAA" w:rsidRPr="001B2C4E" w:rsidRDefault="00880EAA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5986" w:rsidRPr="001B2C4E" w:rsidRDefault="0046774D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Kişi baş</w:t>
      </w:r>
      <w:r w:rsidR="0018220A" w:rsidRPr="001B2C4E">
        <w:rPr>
          <w:rFonts w:ascii="Arial" w:hAnsi="Arial" w:cs="Arial"/>
          <w:color w:val="000000" w:themeColor="text1"/>
          <w:sz w:val="22"/>
          <w:szCs w:val="22"/>
        </w:rPr>
        <w:t>ın</w:t>
      </w:r>
      <w:r w:rsidR="00D33547" w:rsidRPr="001B2C4E">
        <w:rPr>
          <w:rFonts w:ascii="Arial" w:hAnsi="Arial" w:cs="Arial"/>
          <w:color w:val="000000" w:themeColor="text1"/>
          <w:sz w:val="22"/>
          <w:szCs w:val="22"/>
        </w:rPr>
        <w:t>a en yüksek mev</w:t>
      </w:r>
      <w:r w:rsidR="0089424A" w:rsidRPr="001B2C4E">
        <w:rPr>
          <w:rFonts w:ascii="Arial" w:hAnsi="Arial" w:cs="Arial"/>
          <w:color w:val="000000" w:themeColor="text1"/>
          <w:sz w:val="22"/>
          <w:szCs w:val="22"/>
        </w:rPr>
        <w:t xml:space="preserve">duat ortalama </w:t>
      </w:r>
      <w:r w:rsidR="00BD3790" w:rsidRPr="001B2C4E">
        <w:rPr>
          <w:rFonts w:ascii="Arial" w:hAnsi="Arial" w:cs="Arial"/>
          <w:color w:val="000000" w:themeColor="text1"/>
          <w:sz w:val="22"/>
          <w:szCs w:val="22"/>
        </w:rPr>
        <w:t>240.257</w:t>
      </w:r>
      <w:r w:rsidR="00A310B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6A0FF0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89424A" w:rsidRPr="001B2C4E">
        <w:rPr>
          <w:rFonts w:ascii="Arial" w:hAnsi="Arial" w:cs="Arial"/>
          <w:color w:val="000000" w:themeColor="text1"/>
          <w:sz w:val="22"/>
          <w:szCs w:val="22"/>
        </w:rPr>
        <w:t xml:space="preserve">İstanbul’dadır. Bu ili </w:t>
      </w:r>
      <w:r w:rsidR="00F61D33" w:rsidRPr="001B2C4E">
        <w:rPr>
          <w:rFonts w:ascii="Arial" w:hAnsi="Arial" w:cs="Arial"/>
          <w:color w:val="000000" w:themeColor="text1"/>
          <w:sz w:val="22"/>
          <w:szCs w:val="22"/>
        </w:rPr>
        <w:t>226.886</w:t>
      </w:r>
      <w:r w:rsidR="00F121E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F60EE7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89424A" w:rsidRPr="001B2C4E">
        <w:rPr>
          <w:rFonts w:ascii="Arial" w:hAnsi="Arial" w:cs="Arial"/>
          <w:color w:val="000000" w:themeColor="text1"/>
          <w:sz w:val="22"/>
          <w:szCs w:val="22"/>
        </w:rPr>
        <w:t xml:space="preserve">Ankara ve </w:t>
      </w:r>
      <w:r w:rsidR="00F61D33" w:rsidRPr="001B2C4E">
        <w:rPr>
          <w:rFonts w:ascii="Arial" w:hAnsi="Arial" w:cs="Arial"/>
          <w:color w:val="000000" w:themeColor="text1"/>
          <w:sz w:val="22"/>
          <w:szCs w:val="22"/>
        </w:rPr>
        <w:t>106.101</w:t>
      </w:r>
      <w:r w:rsidR="00A310B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F61D33" w:rsidRPr="001B2C4E">
        <w:rPr>
          <w:rFonts w:ascii="Arial" w:hAnsi="Arial" w:cs="Arial"/>
          <w:color w:val="000000" w:themeColor="text1"/>
          <w:sz w:val="22"/>
          <w:szCs w:val="22"/>
        </w:rPr>
        <w:t>Muğla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izlemektedir. </w:t>
      </w:r>
    </w:p>
    <w:p w:rsidR="003549E0" w:rsidRPr="001B2C4E" w:rsidRDefault="003549E0" w:rsidP="00354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50B76" w:rsidRPr="001B2C4E" w:rsidRDefault="00326F80" w:rsidP="00F61D33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Kişi Başına Mevduat* (</w:t>
      </w:r>
      <w:r w:rsidR="00CB1A40" w:rsidRPr="001B2C4E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="00360675" w:rsidRPr="001B2C4E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F61D33" w:rsidRPr="001B2C4E" w:rsidRDefault="00F61D33" w:rsidP="00F61D33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2535"/>
        <w:gridCol w:w="2001"/>
        <w:gridCol w:w="2110"/>
      </w:tblGrid>
      <w:tr w:rsidR="00F61D33" w:rsidRPr="001B2C4E" w:rsidTr="00CB139C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B139C" w:rsidRPr="001B2C4E" w:rsidRDefault="00CB139C" w:rsidP="00CB13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CB139C" w:rsidRPr="001B2C4E" w:rsidRDefault="00F61D33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B139C" w:rsidRPr="001B2C4E" w:rsidRDefault="00F61D33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CB139C" w:rsidRPr="001B2C4E" w:rsidRDefault="00CB139C" w:rsidP="00CB139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Yüzde Değ.**</w:t>
            </w:r>
          </w:p>
        </w:tc>
      </w:tr>
      <w:tr w:rsidR="00F61D33" w:rsidRPr="001B2C4E" w:rsidTr="00D91B9E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F61D33" w:rsidRPr="001B2C4E" w:rsidRDefault="00F61D33" w:rsidP="00F61D3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bottom"/>
          </w:tcPr>
          <w:p w:rsidR="00F61D33" w:rsidRPr="001B2C4E" w:rsidRDefault="00F61D33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53.234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bottom"/>
          </w:tcPr>
          <w:p w:rsidR="00F61D33" w:rsidRPr="001B2C4E" w:rsidRDefault="00F61D33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240.257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bottom"/>
          </w:tcPr>
          <w:p w:rsidR="00F61D33" w:rsidRPr="001B2C4E" w:rsidRDefault="001B2C4E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351</w:t>
            </w:r>
          </w:p>
        </w:tc>
      </w:tr>
      <w:tr w:rsidR="00F61D33" w:rsidRPr="001B2C4E" w:rsidTr="00F61D33">
        <w:trPr>
          <w:trHeight w:val="84"/>
        </w:trPr>
        <w:tc>
          <w:tcPr>
            <w:tcW w:w="1809" w:type="dxa"/>
            <w:vAlign w:val="center"/>
          </w:tcPr>
          <w:p w:rsidR="00F61D33" w:rsidRPr="001B2C4E" w:rsidRDefault="00F61D33" w:rsidP="00F61D3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Ankara</w:t>
            </w:r>
          </w:p>
        </w:tc>
        <w:tc>
          <w:tcPr>
            <w:tcW w:w="2535" w:type="dxa"/>
            <w:vAlign w:val="bottom"/>
          </w:tcPr>
          <w:p w:rsidR="00F61D33" w:rsidRPr="001B2C4E" w:rsidRDefault="00F61D33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42.863</w:t>
            </w:r>
          </w:p>
        </w:tc>
        <w:tc>
          <w:tcPr>
            <w:tcW w:w="2001" w:type="dxa"/>
            <w:vAlign w:val="bottom"/>
          </w:tcPr>
          <w:p w:rsidR="00F61D33" w:rsidRPr="001B2C4E" w:rsidRDefault="00F61D33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226.886</w:t>
            </w:r>
          </w:p>
        </w:tc>
        <w:tc>
          <w:tcPr>
            <w:tcW w:w="2110" w:type="dxa"/>
            <w:vAlign w:val="bottom"/>
          </w:tcPr>
          <w:p w:rsidR="00F61D33" w:rsidRPr="001B2C4E" w:rsidRDefault="001B2C4E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429</w:t>
            </w:r>
          </w:p>
        </w:tc>
      </w:tr>
      <w:tr w:rsidR="00F61D33" w:rsidRPr="001B2C4E" w:rsidTr="00D91B9E">
        <w:tc>
          <w:tcPr>
            <w:tcW w:w="1809" w:type="dxa"/>
            <w:vAlign w:val="center"/>
          </w:tcPr>
          <w:p w:rsidR="00F61D33" w:rsidRPr="001B2C4E" w:rsidRDefault="00F61D33" w:rsidP="00F61D3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Muğla</w:t>
            </w:r>
          </w:p>
        </w:tc>
        <w:tc>
          <w:tcPr>
            <w:tcW w:w="2535" w:type="dxa"/>
            <w:vAlign w:val="bottom"/>
          </w:tcPr>
          <w:p w:rsidR="00F61D33" w:rsidRPr="001B2C4E" w:rsidRDefault="00F61D33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20.721</w:t>
            </w:r>
          </w:p>
        </w:tc>
        <w:tc>
          <w:tcPr>
            <w:tcW w:w="2001" w:type="dxa"/>
            <w:vAlign w:val="bottom"/>
          </w:tcPr>
          <w:p w:rsidR="00F61D33" w:rsidRPr="001B2C4E" w:rsidRDefault="00F61D33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106.101</w:t>
            </w:r>
          </w:p>
        </w:tc>
        <w:tc>
          <w:tcPr>
            <w:tcW w:w="2110" w:type="dxa"/>
            <w:vAlign w:val="bottom"/>
          </w:tcPr>
          <w:p w:rsidR="00F61D33" w:rsidRPr="001B2C4E" w:rsidRDefault="001B2C4E" w:rsidP="00F61D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412</w:t>
            </w:r>
          </w:p>
        </w:tc>
      </w:tr>
      <w:tr w:rsidR="00F61D33" w:rsidRPr="001B2C4E" w:rsidTr="00D91B9E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61D33" w:rsidRPr="007578CD" w:rsidRDefault="00F61D33" w:rsidP="00F61D3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578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Türkiye ort</w:t>
            </w:r>
            <w:r w:rsidR="002C21C9" w:rsidRPr="007578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 w:rsidRPr="007578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bottom"/>
          </w:tcPr>
          <w:p w:rsidR="00F61D33" w:rsidRPr="007578CD" w:rsidRDefault="00F61D33" w:rsidP="00F61D3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578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20.245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F61D33" w:rsidRPr="007578CD" w:rsidRDefault="00F61D33" w:rsidP="00F61D3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578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97.474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 w:rsidR="00F61D33" w:rsidRPr="007578CD" w:rsidRDefault="001B2C4E" w:rsidP="00F61D3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578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382</w:t>
            </w:r>
          </w:p>
        </w:tc>
      </w:tr>
    </w:tbl>
    <w:p w:rsidR="00360675" w:rsidRPr="001B2C4E" w:rsidRDefault="000A32F8" w:rsidP="00F61D33">
      <w:pPr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 20</w:t>
      </w:r>
      <w:r w:rsidR="00F61D33" w:rsidRPr="001B2C4E">
        <w:rPr>
          <w:rFonts w:ascii="Arial" w:hAnsi="Arial" w:cs="Arial"/>
          <w:color w:val="000000" w:themeColor="text1"/>
          <w:sz w:val="18"/>
          <w:szCs w:val="18"/>
        </w:rPr>
        <w:t>22</w:t>
      </w:r>
      <w:r w:rsidR="00360675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E7ED6" w:rsidRPr="001D7169" w:rsidRDefault="00A074DF" w:rsidP="002E7ED6">
      <w:pPr>
        <w:ind w:right="-599"/>
        <w:jc w:val="both"/>
        <w:rPr>
          <w:rFonts w:ascii="Arial" w:hAnsi="Arial" w:cs="Arial"/>
          <w:sz w:val="18"/>
          <w:szCs w:val="18"/>
        </w:rPr>
      </w:pPr>
      <w:r w:rsidRPr="001D7169">
        <w:rPr>
          <w:rFonts w:ascii="Arial" w:hAnsi="Arial" w:cs="Arial"/>
          <w:sz w:val="18"/>
          <w:szCs w:val="18"/>
        </w:rPr>
        <w:t>** 201</w:t>
      </w:r>
      <w:r w:rsidR="001D7169" w:rsidRPr="001D7169">
        <w:rPr>
          <w:rFonts w:ascii="Arial" w:hAnsi="Arial" w:cs="Arial"/>
          <w:sz w:val="18"/>
          <w:szCs w:val="18"/>
        </w:rPr>
        <w:t>7</w:t>
      </w:r>
      <w:r w:rsidRPr="001D7169">
        <w:rPr>
          <w:rFonts w:ascii="Arial" w:hAnsi="Arial" w:cs="Arial"/>
          <w:sz w:val="18"/>
          <w:szCs w:val="18"/>
        </w:rPr>
        <w:t>-202</w:t>
      </w:r>
      <w:r w:rsidR="001D7169">
        <w:rPr>
          <w:rFonts w:ascii="Arial" w:hAnsi="Arial" w:cs="Arial"/>
          <w:sz w:val="18"/>
          <w:szCs w:val="18"/>
        </w:rPr>
        <w:t>2</w:t>
      </w:r>
      <w:r w:rsidR="002E7ED6" w:rsidRPr="001D7169">
        <w:rPr>
          <w:rFonts w:ascii="Arial" w:hAnsi="Arial" w:cs="Arial"/>
          <w:sz w:val="18"/>
          <w:szCs w:val="18"/>
        </w:rPr>
        <w:t xml:space="preserve"> yılları arası TÜFE yüzde </w:t>
      </w:r>
      <w:r w:rsidR="003E5E70" w:rsidRPr="001D7169">
        <w:rPr>
          <w:rFonts w:ascii="Arial" w:hAnsi="Arial" w:cs="Arial"/>
          <w:sz w:val="18"/>
          <w:szCs w:val="18"/>
        </w:rPr>
        <w:t>245</w:t>
      </w:r>
      <w:r w:rsidR="002E7ED6" w:rsidRPr="001D7169">
        <w:rPr>
          <w:rFonts w:ascii="Arial" w:hAnsi="Arial" w:cs="Arial"/>
          <w:sz w:val="18"/>
          <w:szCs w:val="18"/>
        </w:rPr>
        <w:t xml:space="preserve"> olarak gerçekleşmiştir. </w:t>
      </w:r>
    </w:p>
    <w:p w:rsidR="00AA0018" w:rsidRPr="001B2C4E" w:rsidRDefault="00AA0018" w:rsidP="002E7ED6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A0018" w:rsidRPr="001B2C4E" w:rsidRDefault="00AA0018" w:rsidP="002E7ED6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Kişi başına kredi düzeyinin Türkiye ortalaması </w:t>
      </w:r>
      <w:r w:rsidR="002C21C9" w:rsidRPr="001B2C4E">
        <w:rPr>
          <w:rFonts w:ascii="Arial" w:hAnsi="Arial" w:cs="Arial"/>
          <w:color w:val="000000" w:themeColor="text1"/>
          <w:sz w:val="22"/>
          <w:szCs w:val="22"/>
        </w:rPr>
        <w:t>79.760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TL seviyesindedir. Söz konusu tutar 201</w:t>
      </w:r>
      <w:r w:rsidR="002C21C9" w:rsidRPr="001B2C4E">
        <w:rPr>
          <w:rFonts w:ascii="Arial" w:hAnsi="Arial" w:cs="Arial"/>
          <w:color w:val="000000" w:themeColor="text1"/>
          <w:sz w:val="22"/>
          <w:szCs w:val="22"/>
        </w:rPr>
        <w:t>7-2022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döneminde yüzde </w:t>
      </w:r>
      <w:r w:rsidR="002C21C9" w:rsidRPr="001B2C4E">
        <w:rPr>
          <w:rFonts w:ascii="Arial" w:hAnsi="Arial" w:cs="Arial"/>
          <w:color w:val="000000" w:themeColor="text1"/>
          <w:sz w:val="22"/>
          <w:szCs w:val="22"/>
        </w:rPr>
        <w:t>229’lu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k bir artışa işaret etmektedir. (Ek Tablo 8)</w:t>
      </w:r>
    </w:p>
    <w:p w:rsidR="00AA0018" w:rsidRPr="001B2C4E" w:rsidRDefault="00AA0018" w:rsidP="002E7ED6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A0018" w:rsidRPr="001B2C4E" w:rsidRDefault="00AA0018" w:rsidP="00AA0018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Kişi Başına Kredi (TL)</w:t>
      </w:r>
    </w:p>
    <w:p w:rsidR="005248DA" w:rsidRPr="001B2C4E" w:rsidRDefault="002C21C9" w:rsidP="00845102">
      <w:pPr>
        <w:ind w:right="-59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noProof/>
          <w:color w:val="000000" w:themeColor="text1"/>
        </w:rPr>
        <w:drawing>
          <wp:inline distT="0" distB="0" distL="0" distR="0" wp14:anchorId="0943DA5C" wp14:editId="0E6F60A0">
            <wp:extent cx="4000005" cy="1746660"/>
            <wp:effectExtent l="0" t="0" r="635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5102" w:rsidRPr="001B2C4E" w:rsidRDefault="00845102" w:rsidP="00845102">
      <w:pPr>
        <w:ind w:right="-599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202F27" w:rsidRPr="001B2C4E" w:rsidRDefault="00360675" w:rsidP="006B598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>Kişi başın</w:t>
      </w:r>
      <w:r w:rsidR="00133A4E" w:rsidRPr="001B2C4E">
        <w:rPr>
          <w:rFonts w:ascii="Arial" w:hAnsi="Arial" w:cs="Arial"/>
          <w:color w:val="000000" w:themeColor="text1"/>
          <w:sz w:val="22"/>
          <w:szCs w:val="22"/>
        </w:rPr>
        <w:t xml:space="preserve">a en yüksek </w:t>
      </w:r>
      <w:r w:rsidR="00F95881" w:rsidRPr="001B2C4E">
        <w:rPr>
          <w:rFonts w:ascii="Arial" w:hAnsi="Arial" w:cs="Arial"/>
          <w:color w:val="000000" w:themeColor="text1"/>
          <w:sz w:val="22"/>
          <w:szCs w:val="22"/>
        </w:rPr>
        <w:t xml:space="preserve">kredi ortalama </w:t>
      </w:r>
      <w:r w:rsidR="00845102" w:rsidRPr="001B2C4E">
        <w:rPr>
          <w:rFonts w:ascii="Arial" w:hAnsi="Arial" w:cs="Arial"/>
          <w:color w:val="000000" w:themeColor="text1"/>
          <w:sz w:val="22"/>
          <w:szCs w:val="22"/>
        </w:rPr>
        <w:t>174.509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İstanbul’dadır. </w:t>
      </w:r>
      <w:r w:rsidR="00B36EC4" w:rsidRPr="001B2C4E">
        <w:rPr>
          <w:rFonts w:ascii="Arial" w:hAnsi="Arial" w:cs="Arial"/>
          <w:color w:val="000000" w:themeColor="text1"/>
          <w:sz w:val="22"/>
          <w:szCs w:val="22"/>
        </w:rPr>
        <w:t xml:space="preserve">Bu ili </w:t>
      </w:r>
      <w:r w:rsidR="00845102" w:rsidRPr="001B2C4E">
        <w:rPr>
          <w:rFonts w:ascii="Arial" w:hAnsi="Arial" w:cs="Arial"/>
          <w:color w:val="000000" w:themeColor="text1"/>
          <w:sz w:val="22"/>
          <w:szCs w:val="22"/>
        </w:rPr>
        <w:t>157.471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B36EC4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Ankara ve </w:t>
      </w:r>
      <w:r w:rsidR="00845102" w:rsidRPr="001B2C4E">
        <w:rPr>
          <w:rFonts w:ascii="Arial" w:hAnsi="Arial" w:cs="Arial"/>
          <w:color w:val="000000" w:themeColor="text1"/>
          <w:sz w:val="22"/>
          <w:szCs w:val="22"/>
        </w:rPr>
        <w:t>114.221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B36EC4" w:rsidRPr="001B2C4E">
        <w:rPr>
          <w:rFonts w:ascii="Arial" w:hAnsi="Arial" w:cs="Arial"/>
          <w:color w:val="000000" w:themeColor="text1"/>
          <w:sz w:val="22"/>
          <w:szCs w:val="22"/>
        </w:rPr>
        <w:t>Denizli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izlemektedir</w:t>
      </w:r>
      <w:r w:rsidR="000245DA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DE20EE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60675" w:rsidRPr="001B2C4E" w:rsidRDefault="00326F80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Kişi Başına Kredi* (</w:t>
      </w:r>
      <w:r w:rsidR="00CB1A40" w:rsidRPr="001B2C4E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="00360675" w:rsidRPr="001B2C4E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150B76" w:rsidRPr="001B2C4E" w:rsidRDefault="00150B76" w:rsidP="001E76AD">
      <w:pPr>
        <w:ind w:right="-599"/>
        <w:jc w:val="center"/>
        <w:rPr>
          <w:rFonts w:ascii="Arial" w:hAnsi="Arial" w:cs="Arial"/>
          <w:b/>
          <w:color w:val="000000" w:themeColor="text1"/>
          <w:sz w:val="12"/>
          <w:szCs w:val="22"/>
        </w:rPr>
      </w:pP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84"/>
        <w:gridCol w:w="2252"/>
        <w:gridCol w:w="1985"/>
        <w:gridCol w:w="2125"/>
      </w:tblGrid>
      <w:tr w:rsidR="002C21C9" w:rsidRPr="001B2C4E" w:rsidTr="00A507AF">
        <w:tc>
          <w:tcPr>
            <w:tcW w:w="1684" w:type="dxa"/>
            <w:tcBorders>
              <w:bottom w:val="single" w:sz="4" w:space="0" w:color="auto"/>
            </w:tcBorders>
          </w:tcPr>
          <w:p w:rsidR="00CB139C" w:rsidRPr="001B2C4E" w:rsidRDefault="00CB139C" w:rsidP="00CB139C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CB139C" w:rsidRPr="001B2C4E" w:rsidRDefault="002C21C9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139C" w:rsidRPr="001B2C4E" w:rsidRDefault="002C21C9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CB139C" w:rsidRPr="001B2C4E" w:rsidRDefault="00CB139C" w:rsidP="00CB139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Yüzde değ.**</w:t>
            </w:r>
          </w:p>
        </w:tc>
      </w:tr>
      <w:tr w:rsidR="002C21C9" w:rsidRPr="001B2C4E" w:rsidTr="00D91B9E"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:rsidR="002C21C9" w:rsidRPr="001B2C4E" w:rsidRDefault="002C21C9" w:rsidP="002C21C9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İstanbul  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55.154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174.509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2C21C9" w:rsidRPr="001B2C4E" w:rsidRDefault="001B2C4E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216</w:t>
            </w:r>
          </w:p>
        </w:tc>
      </w:tr>
      <w:tr w:rsidR="002C21C9" w:rsidRPr="001B2C4E" w:rsidTr="00D91B9E">
        <w:tc>
          <w:tcPr>
            <w:tcW w:w="1684" w:type="dxa"/>
            <w:vAlign w:val="bottom"/>
          </w:tcPr>
          <w:p w:rsidR="002C21C9" w:rsidRPr="001B2C4E" w:rsidRDefault="002C21C9" w:rsidP="002C21C9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Ankara </w:t>
            </w:r>
          </w:p>
        </w:tc>
        <w:tc>
          <w:tcPr>
            <w:tcW w:w="2252" w:type="dxa"/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44.786</w:t>
            </w:r>
          </w:p>
        </w:tc>
        <w:tc>
          <w:tcPr>
            <w:tcW w:w="1985" w:type="dxa"/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157.471</w:t>
            </w:r>
          </w:p>
        </w:tc>
        <w:tc>
          <w:tcPr>
            <w:tcW w:w="2125" w:type="dxa"/>
            <w:vAlign w:val="bottom"/>
          </w:tcPr>
          <w:p w:rsidR="002C21C9" w:rsidRPr="001B2C4E" w:rsidRDefault="001B2C4E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252</w:t>
            </w:r>
          </w:p>
        </w:tc>
      </w:tr>
      <w:tr w:rsidR="002C21C9" w:rsidRPr="001B2C4E" w:rsidTr="00D91B9E">
        <w:tc>
          <w:tcPr>
            <w:tcW w:w="1684" w:type="dxa"/>
            <w:vAlign w:val="bottom"/>
          </w:tcPr>
          <w:p w:rsidR="002C21C9" w:rsidRPr="001B2C4E" w:rsidRDefault="002C21C9" w:rsidP="002C21C9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Denizli  </w:t>
            </w:r>
          </w:p>
        </w:tc>
        <w:tc>
          <w:tcPr>
            <w:tcW w:w="2252" w:type="dxa"/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33.265</w:t>
            </w:r>
          </w:p>
        </w:tc>
        <w:tc>
          <w:tcPr>
            <w:tcW w:w="1985" w:type="dxa"/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114.221</w:t>
            </w:r>
          </w:p>
        </w:tc>
        <w:tc>
          <w:tcPr>
            <w:tcW w:w="2125" w:type="dxa"/>
            <w:vAlign w:val="bottom"/>
          </w:tcPr>
          <w:p w:rsidR="002C21C9" w:rsidRPr="001B2C4E" w:rsidRDefault="001B2C4E" w:rsidP="002C21C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243</w:t>
            </w:r>
          </w:p>
        </w:tc>
      </w:tr>
      <w:tr w:rsidR="002C21C9" w:rsidRPr="001B2C4E" w:rsidTr="00D91B9E">
        <w:tc>
          <w:tcPr>
            <w:tcW w:w="1684" w:type="dxa"/>
            <w:tcBorders>
              <w:bottom w:val="single" w:sz="4" w:space="0" w:color="auto"/>
            </w:tcBorders>
          </w:tcPr>
          <w:p w:rsidR="002C21C9" w:rsidRPr="001B2C4E" w:rsidRDefault="002C21C9" w:rsidP="002C21C9">
            <w:pPr>
              <w:ind w:right="-59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24.256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C21C9" w:rsidRPr="001B2C4E" w:rsidRDefault="002C21C9" w:rsidP="002C21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79.760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2C21C9" w:rsidRPr="001B2C4E" w:rsidRDefault="001B2C4E" w:rsidP="002C21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229</w:t>
            </w:r>
          </w:p>
        </w:tc>
      </w:tr>
    </w:tbl>
    <w:p w:rsidR="00360675" w:rsidRPr="001B2C4E" w:rsidRDefault="008A75D4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</w:t>
      </w:r>
      <w:r w:rsidR="002C21C9" w:rsidRPr="001B2C4E">
        <w:rPr>
          <w:rFonts w:ascii="Arial" w:hAnsi="Arial" w:cs="Arial"/>
          <w:color w:val="000000" w:themeColor="text1"/>
          <w:sz w:val="18"/>
          <w:szCs w:val="18"/>
        </w:rPr>
        <w:t xml:space="preserve"> 2022</w:t>
      </w:r>
      <w:r w:rsidR="00360675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9738D" w:rsidRPr="007578CD" w:rsidRDefault="001D7169" w:rsidP="0029738D">
      <w:pPr>
        <w:ind w:right="-599"/>
        <w:jc w:val="both"/>
        <w:rPr>
          <w:rFonts w:ascii="Arial" w:hAnsi="Arial" w:cs="Arial"/>
          <w:color w:val="FF0000"/>
          <w:sz w:val="18"/>
          <w:szCs w:val="18"/>
        </w:rPr>
      </w:pPr>
      <w:r w:rsidRPr="001D7169">
        <w:rPr>
          <w:rFonts w:ascii="Arial" w:hAnsi="Arial" w:cs="Arial"/>
          <w:sz w:val="18"/>
          <w:szCs w:val="18"/>
        </w:rPr>
        <w:t>** 2017-2022</w:t>
      </w:r>
      <w:r w:rsidR="0029738D" w:rsidRPr="001D7169">
        <w:rPr>
          <w:rFonts w:ascii="Arial" w:hAnsi="Arial" w:cs="Arial"/>
          <w:sz w:val="18"/>
          <w:szCs w:val="18"/>
        </w:rPr>
        <w:t xml:space="preserve"> yılları arası TÜFE yüzde </w:t>
      </w:r>
      <w:r w:rsidR="003E5E70" w:rsidRPr="001D7169">
        <w:rPr>
          <w:rFonts w:ascii="Arial" w:hAnsi="Arial" w:cs="Arial"/>
          <w:sz w:val="18"/>
          <w:szCs w:val="18"/>
        </w:rPr>
        <w:t>245</w:t>
      </w:r>
      <w:r w:rsidR="0029738D" w:rsidRPr="001D7169">
        <w:rPr>
          <w:rFonts w:ascii="Arial" w:hAnsi="Arial" w:cs="Arial"/>
          <w:sz w:val="18"/>
          <w:szCs w:val="18"/>
        </w:rPr>
        <w:t xml:space="preserve"> olarak gerçekleşmiştir. </w:t>
      </w:r>
    </w:p>
    <w:p w:rsidR="00845102" w:rsidRPr="001B2C4E" w:rsidRDefault="00845102" w:rsidP="0029738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6774D" w:rsidRPr="001B2C4E" w:rsidRDefault="00F04D96" w:rsidP="006B5986">
      <w:pPr>
        <w:spacing w:before="120" w:after="120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4</w:t>
      </w:r>
      <w:r w:rsidR="0046774D" w:rsidRPr="001B2C4E">
        <w:rPr>
          <w:rFonts w:ascii="Arial" w:hAnsi="Arial" w:cs="Arial"/>
          <w:b/>
          <w:color w:val="000000" w:themeColor="text1"/>
          <w:szCs w:val="24"/>
        </w:rPr>
        <w:t xml:space="preserve">. Banka ve şube sayısına göre </w:t>
      </w:r>
      <w:r w:rsidR="00992405" w:rsidRPr="001B2C4E">
        <w:rPr>
          <w:rFonts w:ascii="Arial" w:hAnsi="Arial" w:cs="Arial"/>
          <w:b/>
          <w:color w:val="000000" w:themeColor="text1"/>
          <w:szCs w:val="24"/>
        </w:rPr>
        <w:t>bankacılık hizmetleri</w:t>
      </w:r>
      <w:r w:rsidR="0046774D" w:rsidRPr="001B2C4E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46774D" w:rsidRPr="001B2C4E" w:rsidRDefault="0018470A" w:rsidP="006B598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Ş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ube başına en yüksek mevduat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1.525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34D" w:rsidRPr="001B2C4E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07328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A22" w:rsidRPr="001B2C4E">
        <w:rPr>
          <w:rFonts w:ascii="Arial" w:hAnsi="Arial" w:cs="Arial"/>
          <w:color w:val="000000" w:themeColor="text1"/>
          <w:sz w:val="22"/>
          <w:szCs w:val="22"/>
        </w:rPr>
        <w:t>ile İstanbul</w:t>
      </w:r>
      <w:r w:rsidR="00EC4D3D" w:rsidRPr="001B2C4E">
        <w:rPr>
          <w:rFonts w:ascii="Arial" w:hAnsi="Arial" w:cs="Arial"/>
          <w:color w:val="000000" w:themeColor="text1"/>
          <w:sz w:val="22"/>
          <w:szCs w:val="22"/>
        </w:rPr>
        <w:t xml:space="preserve">’dadır.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Bu ilimizi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1.459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34D" w:rsidRPr="001B2C4E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5532ED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B54679" w:rsidRPr="001B2C4E">
        <w:rPr>
          <w:rFonts w:ascii="Arial" w:hAnsi="Arial" w:cs="Arial"/>
          <w:color w:val="000000" w:themeColor="text1"/>
          <w:sz w:val="22"/>
          <w:szCs w:val="22"/>
        </w:rPr>
        <w:t xml:space="preserve">Ankara ve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800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34D" w:rsidRPr="001B2C4E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Kocaeli (İzmit)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izlemektedir</w:t>
      </w:r>
      <w:r w:rsidR="000245DA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DE20EE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A07" w:rsidRPr="001B2C4E">
        <w:rPr>
          <w:rFonts w:ascii="Arial" w:hAnsi="Arial" w:cs="Arial"/>
          <w:color w:val="000000" w:themeColor="text1"/>
          <w:sz w:val="22"/>
          <w:szCs w:val="22"/>
        </w:rPr>
        <w:t xml:space="preserve"> Şube başına mevduatın Türkiye ortalaması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867</w:t>
      </w:r>
      <w:r w:rsidR="00AD4A07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TL’dir.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(Ek Tablo 9</w:t>
      </w:r>
      <w:r w:rsidR="00775FD4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F46A7F" w:rsidRPr="001B2C4E" w:rsidRDefault="00133524" w:rsidP="006B5986">
      <w:pPr>
        <w:pStyle w:val="BodyText2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Ş</w:t>
      </w:r>
      <w:r w:rsidR="00FA365C" w:rsidRPr="001B2C4E">
        <w:rPr>
          <w:rFonts w:ascii="Arial" w:hAnsi="Arial" w:cs="Arial"/>
          <w:color w:val="000000" w:themeColor="text1"/>
          <w:sz w:val="22"/>
          <w:szCs w:val="22"/>
        </w:rPr>
        <w:t>ube başına ortalama mevd</w:t>
      </w:r>
      <w:r w:rsidR="00B54679" w:rsidRPr="001B2C4E">
        <w:rPr>
          <w:rFonts w:ascii="Arial" w:hAnsi="Arial" w:cs="Arial"/>
          <w:color w:val="000000" w:themeColor="text1"/>
          <w:sz w:val="22"/>
          <w:szCs w:val="22"/>
        </w:rPr>
        <w:t>ua</w:t>
      </w:r>
      <w:r w:rsidR="0077428D" w:rsidRPr="001B2C4E">
        <w:rPr>
          <w:rFonts w:ascii="Arial" w:hAnsi="Arial" w:cs="Arial"/>
          <w:color w:val="000000" w:themeColor="text1"/>
          <w:sz w:val="22"/>
          <w:szCs w:val="22"/>
        </w:rPr>
        <w:t xml:space="preserve">tın en yüksek olduğu bölge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1.525</w:t>
      </w:r>
      <w:r w:rsidR="00FA365C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TL </w:t>
      </w:r>
      <w:r w:rsidR="00B54679" w:rsidRPr="001B2C4E">
        <w:rPr>
          <w:rFonts w:ascii="Arial" w:hAnsi="Arial" w:cs="Arial"/>
          <w:color w:val="000000" w:themeColor="text1"/>
          <w:sz w:val="22"/>
          <w:szCs w:val="22"/>
        </w:rPr>
        <w:t xml:space="preserve">ile İstanbul’dur. </w:t>
      </w:r>
      <w:r w:rsidR="00816938" w:rsidRPr="001B2C4E">
        <w:rPr>
          <w:rFonts w:ascii="Arial" w:hAnsi="Arial" w:cs="Arial"/>
          <w:color w:val="000000" w:themeColor="text1"/>
          <w:sz w:val="22"/>
          <w:szCs w:val="22"/>
        </w:rPr>
        <w:t xml:space="preserve">Bu bölgeyi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1.254</w:t>
      </w:r>
      <w:r w:rsidR="00FA365C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TL ile Batı Anadolu ve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596</w:t>
      </w:r>
      <w:r w:rsidR="00FA365C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TL ile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>Akdeniz</w:t>
      </w:r>
      <w:r w:rsidR="00FA365C" w:rsidRPr="001B2C4E">
        <w:rPr>
          <w:rFonts w:ascii="Arial" w:hAnsi="Arial" w:cs="Arial"/>
          <w:color w:val="000000" w:themeColor="text1"/>
          <w:sz w:val="22"/>
          <w:szCs w:val="22"/>
        </w:rPr>
        <w:t xml:space="preserve"> bölgeleri izlemektedir.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(Ek Tablo 11</w:t>
      </w:r>
      <w:r w:rsidR="00FA365C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025598" w:rsidRPr="001B2C4E" w:rsidRDefault="00530841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Şube Başına Mevduat* (</w:t>
      </w:r>
      <w:r w:rsidR="00386BBA" w:rsidRPr="001B2C4E">
        <w:rPr>
          <w:rFonts w:ascii="Arial" w:hAnsi="Arial" w:cs="Arial"/>
          <w:b/>
          <w:color w:val="000000" w:themeColor="text1"/>
          <w:sz w:val="22"/>
          <w:szCs w:val="22"/>
        </w:rPr>
        <w:t>Milyon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3"/>
        <w:gridCol w:w="2008"/>
        <w:gridCol w:w="2061"/>
        <w:gridCol w:w="2191"/>
      </w:tblGrid>
      <w:tr w:rsidR="00A55312" w:rsidRPr="001B2C4E" w:rsidTr="00A507AF"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994723" w:rsidRPr="001B2C4E" w:rsidRDefault="00994723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94723" w:rsidRPr="001B2C4E" w:rsidRDefault="00A55312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994723" w:rsidRPr="001B2C4E" w:rsidRDefault="00A55312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994723" w:rsidRPr="001B2C4E" w:rsidRDefault="00994723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Yüzde değ.**</w:t>
            </w:r>
          </w:p>
        </w:tc>
      </w:tr>
      <w:tr w:rsidR="00A55312" w:rsidRPr="001B2C4E" w:rsidTr="00D91B9E">
        <w:tc>
          <w:tcPr>
            <w:tcW w:w="2353" w:type="dxa"/>
            <w:tcBorders>
              <w:top w:val="single" w:sz="4" w:space="0" w:color="auto"/>
            </w:tcBorders>
            <w:vAlign w:val="bottom"/>
          </w:tcPr>
          <w:p w:rsidR="00A55312" w:rsidRPr="001B2C4E" w:rsidRDefault="00A55312" w:rsidP="00A553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İstanbul 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282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1.525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bottom"/>
          </w:tcPr>
          <w:p w:rsidR="00A55312" w:rsidRPr="001B2C4E" w:rsidRDefault="001B2C4E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440</w:t>
            </w:r>
          </w:p>
        </w:tc>
      </w:tr>
      <w:tr w:rsidR="00A55312" w:rsidRPr="001B2C4E" w:rsidTr="00D91B9E">
        <w:tc>
          <w:tcPr>
            <w:tcW w:w="2353" w:type="dxa"/>
            <w:vAlign w:val="bottom"/>
          </w:tcPr>
          <w:p w:rsidR="00A55312" w:rsidRPr="001B2C4E" w:rsidRDefault="00A55312" w:rsidP="00A553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Ankara </w:t>
            </w:r>
          </w:p>
        </w:tc>
        <w:tc>
          <w:tcPr>
            <w:tcW w:w="2008" w:type="dxa"/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2061" w:type="dxa"/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1.459</w:t>
            </w:r>
          </w:p>
        </w:tc>
        <w:tc>
          <w:tcPr>
            <w:tcW w:w="2191" w:type="dxa"/>
            <w:vAlign w:val="bottom"/>
          </w:tcPr>
          <w:p w:rsidR="00A55312" w:rsidRPr="001B2C4E" w:rsidRDefault="001B2C4E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523</w:t>
            </w:r>
          </w:p>
        </w:tc>
      </w:tr>
      <w:tr w:rsidR="00A55312" w:rsidRPr="001B2C4E" w:rsidTr="00D91B9E">
        <w:tc>
          <w:tcPr>
            <w:tcW w:w="2353" w:type="dxa"/>
            <w:vAlign w:val="bottom"/>
          </w:tcPr>
          <w:p w:rsidR="00A55312" w:rsidRPr="001B2C4E" w:rsidRDefault="00A55312" w:rsidP="00A553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Kocaeli (İzmit)</w:t>
            </w:r>
          </w:p>
        </w:tc>
        <w:tc>
          <w:tcPr>
            <w:tcW w:w="2008" w:type="dxa"/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2061" w:type="dxa"/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2191" w:type="dxa"/>
            <w:vAlign w:val="bottom"/>
          </w:tcPr>
          <w:p w:rsidR="00A55312" w:rsidRPr="001B2C4E" w:rsidRDefault="001B2C4E" w:rsidP="00A553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605</w:t>
            </w:r>
          </w:p>
        </w:tc>
      </w:tr>
      <w:tr w:rsidR="00A55312" w:rsidRPr="001B2C4E" w:rsidTr="00D91B9E"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A55312" w:rsidRPr="001B2C4E" w:rsidRDefault="00A55312" w:rsidP="00A5531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bottom"/>
          </w:tcPr>
          <w:p w:rsidR="00A55312" w:rsidRPr="001B2C4E" w:rsidRDefault="00A55312" w:rsidP="00A5531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867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bottom"/>
          </w:tcPr>
          <w:p w:rsidR="00A55312" w:rsidRPr="001B2C4E" w:rsidRDefault="001B2C4E" w:rsidP="00A5531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455</w:t>
            </w:r>
          </w:p>
        </w:tc>
      </w:tr>
    </w:tbl>
    <w:p w:rsidR="00530841" w:rsidRPr="001B2C4E" w:rsidRDefault="00A55312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 2022</w:t>
      </w:r>
      <w:r w:rsidR="00530841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9738D" w:rsidRPr="001D7169" w:rsidRDefault="001D7169" w:rsidP="0029738D">
      <w:pPr>
        <w:ind w:right="-599"/>
        <w:jc w:val="both"/>
        <w:rPr>
          <w:rFonts w:ascii="Arial" w:hAnsi="Arial" w:cs="Arial"/>
          <w:sz w:val="18"/>
          <w:szCs w:val="18"/>
        </w:rPr>
      </w:pPr>
      <w:r w:rsidRPr="001D7169">
        <w:rPr>
          <w:rFonts w:ascii="Arial" w:hAnsi="Arial" w:cs="Arial"/>
          <w:sz w:val="18"/>
          <w:szCs w:val="18"/>
        </w:rPr>
        <w:t>** 2017-2022</w:t>
      </w:r>
      <w:r w:rsidR="0029738D" w:rsidRPr="001D7169">
        <w:rPr>
          <w:rFonts w:ascii="Arial" w:hAnsi="Arial" w:cs="Arial"/>
          <w:sz w:val="18"/>
          <w:szCs w:val="18"/>
        </w:rPr>
        <w:t xml:space="preserve"> yılları arası TÜFE yüzde </w:t>
      </w:r>
      <w:r w:rsidR="003E5E70" w:rsidRPr="001D7169">
        <w:rPr>
          <w:rFonts w:ascii="Arial" w:hAnsi="Arial" w:cs="Arial"/>
          <w:sz w:val="18"/>
          <w:szCs w:val="18"/>
        </w:rPr>
        <w:t>245</w:t>
      </w:r>
      <w:r w:rsidR="0029738D" w:rsidRPr="001D7169">
        <w:rPr>
          <w:rFonts w:ascii="Arial" w:hAnsi="Arial" w:cs="Arial"/>
          <w:sz w:val="18"/>
          <w:szCs w:val="18"/>
        </w:rPr>
        <w:t xml:space="preserve"> olarak gerçekleşmiştir. </w:t>
      </w:r>
    </w:p>
    <w:p w:rsidR="004F4B0A" w:rsidRPr="001B2C4E" w:rsidRDefault="004F4B0A" w:rsidP="004F4B0A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D533A" w:rsidRPr="001B2C4E" w:rsidRDefault="003D44F9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Ticari mevduatta ilk üç sırayı ise İstanbul, Batı Anadolu ve Ege bölgeleri paylaşmaktadır. (Ek Tablo 1</w:t>
      </w:r>
      <w:r w:rsidR="009F5565" w:rsidRPr="001B2C4E">
        <w:rPr>
          <w:rFonts w:ascii="Arial" w:hAnsi="Arial" w:cs="Arial"/>
          <w:color w:val="000000" w:themeColor="text1"/>
          <w:sz w:val="22"/>
          <w:szCs w:val="22"/>
        </w:rPr>
        <w:t>0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)</w:t>
      </w:r>
      <w:r w:rsidR="001E76A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5312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Şube başına ortalama mevduatın dağılımına göre, en yüksek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mevduatı sırasıyla İstanbul,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205F" w:rsidRPr="001B2C4E">
        <w:rPr>
          <w:rFonts w:ascii="Arial" w:hAnsi="Arial" w:cs="Arial"/>
          <w:color w:val="000000" w:themeColor="text1"/>
          <w:sz w:val="22"/>
          <w:szCs w:val="22"/>
        </w:rPr>
        <w:t>Batı Anadolu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6094"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Akdeniz</w:t>
      </w:r>
      <w:r w:rsidR="00F36094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bölgelerindedir. </w:t>
      </w:r>
      <w:r w:rsidR="005E5610" w:rsidRPr="001B2C4E">
        <w:rPr>
          <w:rFonts w:ascii="Arial" w:hAnsi="Arial" w:cs="Arial"/>
          <w:color w:val="000000" w:themeColor="text1"/>
          <w:sz w:val="22"/>
          <w:szCs w:val="22"/>
        </w:rPr>
        <w:t>Döviz tevdiat hesabı (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>DTH</w:t>
      </w:r>
      <w:r w:rsidR="005E5610" w:rsidRPr="001B2C4E">
        <w:rPr>
          <w:rFonts w:ascii="Arial" w:hAnsi="Arial" w:cs="Arial"/>
          <w:color w:val="000000" w:themeColor="text1"/>
          <w:sz w:val="22"/>
          <w:szCs w:val="22"/>
        </w:rPr>
        <w:t>)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için bu sıralama</w:t>
      </w:r>
      <w:r w:rsidR="009832E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44B6" w:rsidRPr="001B2C4E">
        <w:rPr>
          <w:rFonts w:ascii="Arial" w:hAnsi="Arial" w:cs="Arial"/>
          <w:color w:val="000000" w:themeColor="text1"/>
          <w:sz w:val="22"/>
          <w:szCs w:val="22"/>
        </w:rPr>
        <w:t>ise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İstanbul, Batı Anadolu ve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 xml:space="preserve"> Akdeniz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bölgeleri şeklindedir.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(Ek Tablo 11</w:t>
      </w:r>
      <w:r w:rsidR="00F63761" w:rsidRPr="001B2C4E">
        <w:rPr>
          <w:rFonts w:ascii="Arial" w:hAnsi="Arial" w:cs="Arial"/>
          <w:color w:val="000000" w:themeColor="text1"/>
          <w:sz w:val="22"/>
          <w:szCs w:val="22"/>
        </w:rPr>
        <w:t>)</w:t>
      </w:r>
      <w:r w:rsidR="00BF45B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B5986" w:rsidRPr="001B2C4E" w:rsidRDefault="006B5986" w:rsidP="001E76AD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:rsidR="002572E5" w:rsidRPr="001B2C4E" w:rsidRDefault="007A2D8B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Şube Başına Kredi* (Milyon</w:t>
      </w:r>
      <w:r w:rsidR="002572E5"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b/>
          <w:color w:val="000000" w:themeColor="text1"/>
          <w:sz w:val="22"/>
          <w:szCs w:val="22"/>
        </w:rPr>
        <w:t>TL</w:t>
      </w:r>
      <w:r w:rsidR="002572E5" w:rsidRPr="001B2C4E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415E60" w:rsidRPr="001B2C4E" w:rsidRDefault="00415E60" w:rsidP="001E76AD">
      <w:pPr>
        <w:ind w:right="-599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1984"/>
        <w:gridCol w:w="2126"/>
      </w:tblGrid>
      <w:tr w:rsidR="00A57CF1" w:rsidRPr="001B2C4E" w:rsidTr="00A507AF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B139C" w:rsidRPr="001B2C4E" w:rsidRDefault="00CB139C" w:rsidP="00CB13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139C" w:rsidRPr="001B2C4E" w:rsidRDefault="00A57CF1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A57CF1"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B139C" w:rsidRPr="001B2C4E" w:rsidRDefault="00CB139C" w:rsidP="00CB1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Yüzde değ.**</w:t>
            </w:r>
          </w:p>
        </w:tc>
      </w:tr>
      <w:tr w:rsidR="00A57CF1" w:rsidRPr="001B2C4E" w:rsidTr="00D91B9E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A57CF1" w:rsidRPr="001B2C4E" w:rsidRDefault="00A57CF1" w:rsidP="00A57C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Gaziantep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284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1.279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A57CF1" w:rsidRPr="001B2C4E" w:rsidRDefault="001B2C4E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351</w:t>
            </w:r>
          </w:p>
        </w:tc>
      </w:tr>
      <w:tr w:rsidR="00A57CF1" w:rsidRPr="001B2C4E" w:rsidTr="00D91B9E">
        <w:tc>
          <w:tcPr>
            <w:tcW w:w="2518" w:type="dxa"/>
            <w:vAlign w:val="center"/>
          </w:tcPr>
          <w:p w:rsidR="00A57CF1" w:rsidRPr="001B2C4E" w:rsidRDefault="00A57CF1" w:rsidP="00A57C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İstanbul  </w:t>
            </w:r>
          </w:p>
        </w:tc>
        <w:tc>
          <w:tcPr>
            <w:tcW w:w="1985" w:type="dxa"/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293</w:t>
            </w:r>
          </w:p>
        </w:tc>
        <w:tc>
          <w:tcPr>
            <w:tcW w:w="1984" w:type="dxa"/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1.108</w:t>
            </w:r>
          </w:p>
        </w:tc>
        <w:tc>
          <w:tcPr>
            <w:tcW w:w="2126" w:type="dxa"/>
            <w:vAlign w:val="bottom"/>
          </w:tcPr>
          <w:p w:rsidR="00A57CF1" w:rsidRPr="001B2C4E" w:rsidRDefault="001B2C4E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279</w:t>
            </w:r>
          </w:p>
        </w:tc>
      </w:tr>
      <w:tr w:rsidR="00A57CF1" w:rsidRPr="001B2C4E" w:rsidTr="00D91B9E">
        <w:tc>
          <w:tcPr>
            <w:tcW w:w="2518" w:type="dxa"/>
            <w:vAlign w:val="center"/>
          </w:tcPr>
          <w:p w:rsidR="00A57CF1" w:rsidRPr="001B2C4E" w:rsidRDefault="00A57CF1" w:rsidP="00A57C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Ankara </w:t>
            </w:r>
          </w:p>
        </w:tc>
        <w:tc>
          <w:tcPr>
            <w:tcW w:w="1985" w:type="dxa"/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1984" w:type="dxa"/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1.013</w:t>
            </w:r>
          </w:p>
        </w:tc>
        <w:tc>
          <w:tcPr>
            <w:tcW w:w="2126" w:type="dxa"/>
            <w:vAlign w:val="bottom"/>
          </w:tcPr>
          <w:p w:rsidR="00A57CF1" w:rsidRPr="001B2C4E" w:rsidRDefault="001B2C4E" w:rsidP="00A57C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314</w:t>
            </w:r>
          </w:p>
        </w:tc>
      </w:tr>
      <w:tr w:rsidR="00A57CF1" w:rsidRPr="001B2C4E" w:rsidTr="00D91B9E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57CF1" w:rsidRPr="001B2C4E" w:rsidRDefault="00A57CF1" w:rsidP="00A57CF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Türkiye ort.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57CF1" w:rsidRPr="001B2C4E" w:rsidRDefault="00A57CF1" w:rsidP="00A57C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57CF1" w:rsidRPr="001B2C4E" w:rsidRDefault="001B2C4E" w:rsidP="00A57C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281</w:t>
            </w:r>
          </w:p>
        </w:tc>
      </w:tr>
    </w:tbl>
    <w:p w:rsidR="002572E5" w:rsidRPr="001B2C4E" w:rsidRDefault="007A2D8B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 20</w:t>
      </w:r>
      <w:r w:rsidR="00370524" w:rsidRPr="001B2C4E">
        <w:rPr>
          <w:rFonts w:ascii="Arial" w:hAnsi="Arial" w:cs="Arial"/>
          <w:color w:val="000000" w:themeColor="text1"/>
          <w:sz w:val="18"/>
          <w:szCs w:val="18"/>
        </w:rPr>
        <w:t>2</w:t>
      </w:r>
      <w:r w:rsidR="00A57CF1" w:rsidRPr="001B2C4E">
        <w:rPr>
          <w:rFonts w:ascii="Arial" w:hAnsi="Arial" w:cs="Arial"/>
          <w:color w:val="000000" w:themeColor="text1"/>
          <w:sz w:val="18"/>
          <w:szCs w:val="18"/>
        </w:rPr>
        <w:t>2</w:t>
      </w:r>
      <w:r w:rsidR="002572E5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9738D" w:rsidRPr="001B2C4E" w:rsidRDefault="001D7169" w:rsidP="0029738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 2017-2022</w:t>
      </w:r>
      <w:r w:rsidR="0029738D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yılları arası TÜFE yüzde </w:t>
      </w:r>
      <w:r w:rsidR="003E5E70" w:rsidRPr="001B2C4E">
        <w:rPr>
          <w:rFonts w:ascii="Arial" w:hAnsi="Arial" w:cs="Arial"/>
          <w:color w:val="000000" w:themeColor="text1"/>
          <w:sz w:val="18"/>
          <w:szCs w:val="18"/>
        </w:rPr>
        <w:t>245</w:t>
      </w:r>
      <w:r w:rsidR="0029738D" w:rsidRPr="001B2C4E">
        <w:rPr>
          <w:rFonts w:ascii="Arial" w:hAnsi="Arial" w:cs="Arial"/>
          <w:color w:val="000000" w:themeColor="text1"/>
          <w:sz w:val="18"/>
          <w:szCs w:val="18"/>
        </w:rPr>
        <w:t xml:space="preserve"> olarak gerçekleşmiştir. </w:t>
      </w:r>
    </w:p>
    <w:p w:rsidR="0046774D" w:rsidRPr="001B2C4E" w:rsidRDefault="0018470A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İl bazında, ş</w:t>
      </w:r>
      <w:r w:rsidR="008379A8" w:rsidRPr="001B2C4E">
        <w:rPr>
          <w:rFonts w:ascii="Arial" w:hAnsi="Arial" w:cs="Arial"/>
          <w:color w:val="000000" w:themeColor="text1"/>
          <w:sz w:val="22"/>
          <w:szCs w:val="22"/>
        </w:rPr>
        <w:t xml:space="preserve">ube başına en yüksek kredi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1.279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458" w:rsidRPr="001B2C4E">
        <w:rPr>
          <w:rFonts w:ascii="Arial" w:hAnsi="Arial" w:cs="Arial"/>
          <w:color w:val="000000" w:themeColor="text1"/>
          <w:sz w:val="22"/>
          <w:szCs w:val="22"/>
        </w:rPr>
        <w:t>milyon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>Gaziantep’tedir</w:t>
      </w:r>
      <w:r w:rsidR="00883DA9" w:rsidRPr="001B2C4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72C9D" w:rsidRPr="001B2C4E">
        <w:rPr>
          <w:rFonts w:ascii="Arial" w:hAnsi="Arial" w:cs="Arial"/>
          <w:color w:val="000000" w:themeColor="text1"/>
          <w:sz w:val="22"/>
          <w:szCs w:val="22"/>
        </w:rPr>
        <w:t>Bu ilimizi</w:t>
      </w:r>
      <w:r w:rsidR="006C468A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1.108</w:t>
      </w:r>
      <w:r w:rsidR="00822458" w:rsidRPr="001B2C4E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ilyon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>İstanbul</w:t>
      </w:r>
      <w:r w:rsidR="00370524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79A8"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1.013</w:t>
      </w:r>
      <w:r w:rsidR="00822458" w:rsidRPr="001B2C4E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ilyon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ile</w:t>
      </w:r>
      <w:r w:rsidR="00370524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>Ankara</w:t>
      </w:r>
      <w:r w:rsidR="0046774D" w:rsidRPr="001B2C4E">
        <w:rPr>
          <w:rFonts w:ascii="Arial" w:hAnsi="Arial" w:cs="Arial"/>
          <w:color w:val="000000" w:themeColor="text1"/>
          <w:sz w:val="22"/>
          <w:szCs w:val="22"/>
        </w:rPr>
        <w:t xml:space="preserve"> izlemektedir.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 xml:space="preserve"> (Ek Tablo 12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A55312" w:rsidRPr="001B2C4E" w:rsidRDefault="0018470A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>B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>ölge bazında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,</w:t>
      </w:r>
      <w:r w:rsidR="000874A9" w:rsidRPr="001B2C4E">
        <w:rPr>
          <w:rFonts w:ascii="Arial" w:hAnsi="Arial" w:cs="Arial"/>
          <w:color w:val="000000" w:themeColor="text1"/>
          <w:sz w:val="22"/>
          <w:szCs w:val="22"/>
        </w:rPr>
        <w:t xml:space="preserve"> şube başına en yüksek kredi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1.108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3E085C" w:rsidRPr="001B2C4E">
        <w:rPr>
          <w:rFonts w:ascii="Arial" w:hAnsi="Arial" w:cs="Arial"/>
          <w:color w:val="000000" w:themeColor="text1"/>
          <w:sz w:val="22"/>
          <w:szCs w:val="22"/>
        </w:rPr>
        <w:t>le</w:t>
      </w:r>
      <w:r w:rsidR="00F34324" w:rsidRPr="001B2C4E">
        <w:rPr>
          <w:rFonts w:ascii="Arial" w:hAnsi="Arial" w:cs="Arial"/>
          <w:color w:val="000000" w:themeColor="text1"/>
          <w:sz w:val="22"/>
          <w:szCs w:val="22"/>
        </w:rPr>
        <w:t xml:space="preserve"> İ</w:t>
      </w:r>
      <w:r w:rsidR="007E68CD" w:rsidRPr="001B2C4E">
        <w:rPr>
          <w:rFonts w:ascii="Arial" w:hAnsi="Arial" w:cs="Arial"/>
          <w:color w:val="000000" w:themeColor="text1"/>
          <w:sz w:val="22"/>
          <w:szCs w:val="22"/>
        </w:rPr>
        <w:t xml:space="preserve">stanbul’dadır. Bu bölgeyi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878</w:t>
      </w:r>
      <w:r w:rsidR="00A507A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>m</w:t>
      </w:r>
      <w:r w:rsidR="00702552" w:rsidRPr="001B2C4E">
        <w:rPr>
          <w:rFonts w:ascii="Arial" w:hAnsi="Arial" w:cs="Arial"/>
          <w:color w:val="000000" w:themeColor="text1"/>
          <w:sz w:val="22"/>
          <w:szCs w:val="22"/>
        </w:rPr>
        <w:t>il</w:t>
      </w:r>
      <w:r w:rsidR="003E085C" w:rsidRPr="001B2C4E">
        <w:rPr>
          <w:rFonts w:ascii="Arial" w:hAnsi="Arial" w:cs="Arial"/>
          <w:color w:val="000000" w:themeColor="text1"/>
          <w:sz w:val="22"/>
          <w:szCs w:val="22"/>
        </w:rPr>
        <w:t xml:space="preserve">yon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C225F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Batı Anadolu ve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620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055BDB" w:rsidRPr="001B2C4E">
        <w:rPr>
          <w:rFonts w:ascii="Arial" w:hAnsi="Arial" w:cs="Arial"/>
          <w:color w:val="000000" w:themeColor="text1"/>
          <w:sz w:val="22"/>
          <w:szCs w:val="22"/>
        </w:rPr>
        <w:t>Güneydoğu Anadolu</w:t>
      </w:r>
      <w:r w:rsidR="003172E8" w:rsidRPr="001B2C4E">
        <w:rPr>
          <w:rFonts w:ascii="Arial" w:hAnsi="Arial" w:cs="Arial"/>
          <w:color w:val="000000" w:themeColor="text1"/>
          <w:sz w:val="22"/>
          <w:szCs w:val="22"/>
        </w:rPr>
        <w:t xml:space="preserve"> bölgeleri izlemektedir.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(Ek Tablo 14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)</w:t>
      </w:r>
      <w:r w:rsidR="00F46A7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2453" w:rsidRPr="001B2C4E">
        <w:rPr>
          <w:rFonts w:ascii="Arial" w:hAnsi="Arial" w:cs="Arial"/>
          <w:color w:val="000000" w:themeColor="text1"/>
          <w:sz w:val="22"/>
          <w:szCs w:val="22"/>
        </w:rPr>
        <w:t>Türk</w:t>
      </w:r>
      <w:r w:rsidR="00ED7550" w:rsidRPr="001B2C4E">
        <w:rPr>
          <w:rFonts w:ascii="Arial" w:hAnsi="Arial" w:cs="Arial"/>
          <w:color w:val="000000" w:themeColor="text1"/>
          <w:sz w:val="22"/>
          <w:szCs w:val="22"/>
        </w:rPr>
        <w:t>iye genelinde 20</w:t>
      </w:r>
      <w:r w:rsidR="00370524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FE24E4" w:rsidRPr="001B2C4E">
        <w:rPr>
          <w:rFonts w:ascii="Arial" w:hAnsi="Arial" w:cs="Arial"/>
          <w:color w:val="000000" w:themeColor="text1"/>
          <w:sz w:val="22"/>
          <w:szCs w:val="22"/>
        </w:rPr>
        <w:t>ıl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>sonu itibariyle or</w:t>
      </w:r>
      <w:r w:rsidR="00D22424" w:rsidRPr="001B2C4E">
        <w:rPr>
          <w:rFonts w:ascii="Arial" w:hAnsi="Arial" w:cs="Arial"/>
          <w:color w:val="000000" w:themeColor="text1"/>
          <w:sz w:val="22"/>
          <w:szCs w:val="22"/>
        </w:rPr>
        <w:t xml:space="preserve">talama olarak şube başına </w:t>
      </w:r>
      <w:r w:rsidR="00A57CF1" w:rsidRPr="001B2C4E">
        <w:rPr>
          <w:rFonts w:ascii="Arial" w:hAnsi="Arial" w:cs="Arial"/>
          <w:color w:val="000000" w:themeColor="text1"/>
          <w:sz w:val="22"/>
          <w:szCs w:val="22"/>
        </w:rPr>
        <w:t>709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milyon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992405" w:rsidRPr="001B2C4E">
        <w:rPr>
          <w:rFonts w:ascii="Arial" w:hAnsi="Arial" w:cs="Arial"/>
          <w:color w:val="000000" w:themeColor="text1"/>
          <w:sz w:val="22"/>
          <w:szCs w:val="22"/>
        </w:rPr>
        <w:t xml:space="preserve"> kredi bulunmaktadır.</w:t>
      </w:r>
    </w:p>
    <w:p w:rsidR="00A57CF1" w:rsidRPr="001B2C4E" w:rsidRDefault="00A57CF1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72C9D" w:rsidRPr="001B2C4E" w:rsidRDefault="00F04D96" w:rsidP="00115ECB">
      <w:pPr>
        <w:spacing w:before="120" w:after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5</w:t>
      </w:r>
      <w:r w:rsidR="00272C9D" w:rsidRPr="001B2C4E">
        <w:rPr>
          <w:rFonts w:ascii="Arial" w:hAnsi="Arial" w:cs="Arial"/>
          <w:b/>
          <w:color w:val="000000" w:themeColor="text1"/>
          <w:szCs w:val="24"/>
        </w:rPr>
        <w:t xml:space="preserve">. Mevduatın </w:t>
      </w:r>
      <w:r w:rsidR="00570C58" w:rsidRPr="001B2C4E">
        <w:rPr>
          <w:rFonts w:ascii="Arial" w:hAnsi="Arial" w:cs="Arial"/>
          <w:b/>
          <w:color w:val="000000" w:themeColor="text1"/>
          <w:szCs w:val="24"/>
        </w:rPr>
        <w:t>Seyri</w:t>
      </w:r>
    </w:p>
    <w:p w:rsidR="0018470A" w:rsidRPr="001B2C4E" w:rsidRDefault="008B3CDC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Yurtiçi şubelere ait </w:t>
      </w:r>
      <w:r w:rsidR="002043E7" w:rsidRPr="001B2C4E">
        <w:rPr>
          <w:rFonts w:ascii="Arial" w:hAnsi="Arial" w:cs="Arial"/>
          <w:color w:val="000000" w:themeColor="text1"/>
          <w:sz w:val="22"/>
          <w:szCs w:val="22"/>
        </w:rPr>
        <w:t xml:space="preserve">mevduat, </w:t>
      </w:r>
      <w:r w:rsidR="001F6CF2" w:rsidRPr="001B2C4E">
        <w:rPr>
          <w:rFonts w:ascii="Arial" w:hAnsi="Arial" w:cs="Arial"/>
          <w:color w:val="000000" w:themeColor="text1"/>
          <w:sz w:val="22"/>
          <w:szCs w:val="22"/>
        </w:rPr>
        <w:t>20</w:t>
      </w:r>
      <w:r w:rsidR="00370524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0F7AF8" w:rsidRPr="001B2C4E">
        <w:rPr>
          <w:rFonts w:ascii="Arial" w:hAnsi="Arial" w:cs="Arial"/>
          <w:color w:val="000000" w:themeColor="text1"/>
          <w:sz w:val="22"/>
          <w:szCs w:val="22"/>
        </w:rPr>
        <w:t xml:space="preserve"> yıl</w:t>
      </w:r>
      <w:r w:rsidR="00821F3F" w:rsidRPr="001B2C4E">
        <w:rPr>
          <w:rFonts w:ascii="Arial" w:hAnsi="Arial" w:cs="Arial"/>
          <w:color w:val="000000" w:themeColor="text1"/>
          <w:sz w:val="22"/>
          <w:szCs w:val="22"/>
        </w:rPr>
        <w:t xml:space="preserve">sonu itibariyle 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8.313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milyar</w:t>
      </w:r>
      <w:r w:rsidR="002043E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2043E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7AF8" w:rsidRPr="001B2C4E">
        <w:rPr>
          <w:rFonts w:ascii="Arial" w:hAnsi="Arial" w:cs="Arial"/>
          <w:color w:val="000000" w:themeColor="text1"/>
          <w:sz w:val="22"/>
          <w:szCs w:val="22"/>
        </w:rPr>
        <w:t>(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445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milyar dolar) </w:t>
      </w:r>
      <w:r w:rsidR="002043E7" w:rsidRPr="001B2C4E">
        <w:rPr>
          <w:rFonts w:ascii="Arial" w:hAnsi="Arial" w:cs="Arial"/>
          <w:color w:val="000000" w:themeColor="text1"/>
          <w:sz w:val="22"/>
          <w:szCs w:val="22"/>
        </w:rPr>
        <w:t xml:space="preserve">düzeyinde gerçekleşmiştir. 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Toplam mevduatın gayri safi </w:t>
      </w:r>
      <w:r w:rsidR="000F7AF8" w:rsidRPr="001B2C4E">
        <w:rPr>
          <w:rFonts w:ascii="Arial" w:hAnsi="Arial" w:cs="Arial"/>
          <w:color w:val="000000" w:themeColor="text1"/>
          <w:sz w:val="22"/>
          <w:szCs w:val="22"/>
        </w:rPr>
        <w:t>yurtiçi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hasılaya oran</w:t>
      </w:r>
      <w:r w:rsidR="000E4A9D" w:rsidRPr="001B2C4E">
        <w:rPr>
          <w:rFonts w:ascii="Arial" w:hAnsi="Arial" w:cs="Arial"/>
          <w:color w:val="000000" w:themeColor="text1"/>
          <w:sz w:val="22"/>
          <w:szCs w:val="22"/>
        </w:rPr>
        <w:t xml:space="preserve">ı yüzde 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55</w:t>
      </w:r>
      <w:r w:rsidR="00B61493" w:rsidRPr="001B2C4E">
        <w:rPr>
          <w:rFonts w:ascii="Arial" w:hAnsi="Arial" w:cs="Arial"/>
          <w:color w:val="000000" w:themeColor="text1"/>
          <w:sz w:val="22"/>
          <w:szCs w:val="22"/>
        </w:rPr>
        <w:t xml:space="preserve"> düzeyin</w:t>
      </w:r>
      <w:r w:rsidR="0018470A" w:rsidRPr="001B2C4E">
        <w:rPr>
          <w:rFonts w:ascii="Arial" w:hAnsi="Arial" w:cs="Arial"/>
          <w:color w:val="000000" w:themeColor="text1"/>
          <w:sz w:val="22"/>
          <w:szCs w:val="22"/>
        </w:rPr>
        <w:t>dedir.</w:t>
      </w:r>
    </w:p>
    <w:p w:rsidR="0048012C" w:rsidRPr="001B2C4E" w:rsidRDefault="0080501F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Tasarruf mevduatı 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2.249</w:t>
      </w:r>
      <w:r w:rsidR="007F2407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milyar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CDC" w:rsidRPr="001B2C4E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E62C16" w:rsidRPr="001B2C4E">
        <w:rPr>
          <w:rFonts w:ascii="Arial" w:hAnsi="Arial" w:cs="Arial"/>
          <w:color w:val="000000" w:themeColor="text1"/>
          <w:sz w:val="22"/>
          <w:szCs w:val="22"/>
        </w:rPr>
        <w:t xml:space="preserve"> Ticari mevduat 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1.633</w:t>
      </w:r>
      <w:r w:rsidR="0057798F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milyar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>, döviz tevdiat hesaplarını</w:t>
      </w:r>
      <w:r w:rsidR="009C43D3" w:rsidRPr="001B2C4E">
        <w:rPr>
          <w:rFonts w:ascii="Arial" w:hAnsi="Arial" w:cs="Arial"/>
          <w:color w:val="000000" w:themeColor="text1"/>
          <w:sz w:val="22"/>
          <w:szCs w:val="22"/>
        </w:rPr>
        <w:t xml:space="preserve">n (DTH)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E62C16" w:rsidRPr="001B2C4E">
        <w:rPr>
          <w:rFonts w:ascii="Arial" w:hAnsi="Arial" w:cs="Arial"/>
          <w:color w:val="000000" w:themeColor="text1"/>
          <w:sz w:val="22"/>
          <w:szCs w:val="22"/>
        </w:rPr>
        <w:t xml:space="preserve"> karşılıkları ise </w:t>
      </w:r>
      <w:r w:rsidR="00525731" w:rsidRPr="001B2C4E">
        <w:rPr>
          <w:rFonts w:ascii="Arial" w:hAnsi="Arial" w:cs="Arial"/>
          <w:color w:val="000000" w:themeColor="text1"/>
          <w:sz w:val="22"/>
          <w:szCs w:val="22"/>
        </w:rPr>
        <w:t>3.150</w:t>
      </w:r>
      <w:r w:rsidR="004B22A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98F" w:rsidRPr="001B2C4E">
        <w:rPr>
          <w:rFonts w:ascii="Arial" w:hAnsi="Arial" w:cs="Arial"/>
          <w:color w:val="000000" w:themeColor="text1"/>
          <w:sz w:val="22"/>
          <w:szCs w:val="22"/>
        </w:rPr>
        <w:t>milyar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A40" w:rsidRPr="001B2C4E">
        <w:rPr>
          <w:rFonts w:ascii="Arial" w:hAnsi="Arial" w:cs="Arial"/>
          <w:color w:val="000000" w:themeColor="text1"/>
          <w:sz w:val="22"/>
          <w:szCs w:val="22"/>
        </w:rPr>
        <w:t>TL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CDC" w:rsidRPr="001B2C4E">
        <w:rPr>
          <w:rFonts w:ascii="Arial" w:hAnsi="Arial" w:cs="Arial"/>
          <w:color w:val="000000" w:themeColor="text1"/>
          <w:sz w:val="22"/>
          <w:szCs w:val="22"/>
        </w:rPr>
        <w:t>düzeyindedir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9C43D3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A0018" w:rsidRPr="001B2C4E" w:rsidRDefault="00AA0018" w:rsidP="00AA0018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Mevduatın Dağılımı (milyon TL, Yüzde)</w:t>
      </w:r>
    </w:p>
    <w:p w:rsidR="00AA0018" w:rsidRPr="001B2C4E" w:rsidRDefault="00044394" w:rsidP="00AA0018">
      <w:pPr>
        <w:pStyle w:val="BodyText"/>
        <w:spacing w:before="120"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noProof/>
          <w:color w:val="000000" w:themeColor="text1"/>
          <w:lang w:eastAsia="tr-TR"/>
        </w:rPr>
        <w:lastRenderedPageBreak/>
        <w:drawing>
          <wp:inline distT="0" distB="0" distL="0" distR="0" wp14:anchorId="6CBC4507" wp14:editId="16C08053">
            <wp:extent cx="4348163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4723" w:rsidRPr="001B2C4E" w:rsidRDefault="007D223D" w:rsidP="00106A65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Toplam </w:t>
      </w:r>
      <w:r w:rsidR="000A692B" w:rsidRPr="001B2C4E">
        <w:rPr>
          <w:rFonts w:ascii="Arial" w:hAnsi="Arial" w:cs="Arial"/>
          <w:color w:val="000000" w:themeColor="text1"/>
          <w:sz w:val="22"/>
          <w:szCs w:val="22"/>
        </w:rPr>
        <w:t xml:space="preserve">yurtiçi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m</w:t>
      </w:r>
      <w:r w:rsidR="00D5708A" w:rsidRPr="001B2C4E">
        <w:rPr>
          <w:rFonts w:ascii="Arial" w:hAnsi="Arial" w:cs="Arial"/>
          <w:color w:val="000000" w:themeColor="text1"/>
          <w:sz w:val="22"/>
          <w:szCs w:val="22"/>
        </w:rPr>
        <w:t xml:space="preserve">evduatın </w:t>
      </w:r>
      <w:r w:rsidR="00E44076" w:rsidRPr="001B2C4E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0C0CAA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5A3899" w:rsidRPr="001B2C4E">
        <w:rPr>
          <w:rFonts w:ascii="Arial" w:hAnsi="Arial" w:cs="Arial"/>
          <w:color w:val="000000" w:themeColor="text1"/>
          <w:sz w:val="22"/>
          <w:szCs w:val="22"/>
        </w:rPr>
        <w:t>7</w:t>
      </w:r>
      <w:r w:rsidR="00E44076" w:rsidRPr="001B2C4E">
        <w:rPr>
          <w:rFonts w:ascii="Arial" w:hAnsi="Arial" w:cs="Arial"/>
          <w:color w:val="000000" w:themeColor="text1"/>
          <w:sz w:val="22"/>
          <w:szCs w:val="22"/>
        </w:rPr>
        <w:t>’</w:t>
      </w:r>
      <w:r w:rsidR="004B22A7" w:rsidRPr="001B2C4E">
        <w:rPr>
          <w:rFonts w:ascii="Arial" w:hAnsi="Arial" w:cs="Arial"/>
          <w:color w:val="000000" w:themeColor="text1"/>
          <w:sz w:val="22"/>
          <w:szCs w:val="22"/>
        </w:rPr>
        <w:t>sini</w:t>
      </w:r>
      <w:r w:rsidR="00AB1DAA" w:rsidRPr="001B2C4E">
        <w:rPr>
          <w:rFonts w:ascii="Arial" w:hAnsi="Arial" w:cs="Arial"/>
          <w:color w:val="000000" w:themeColor="text1"/>
          <w:sz w:val="22"/>
          <w:szCs w:val="22"/>
        </w:rPr>
        <w:t xml:space="preserve"> tasarruf, yüzde </w:t>
      </w:r>
      <w:r w:rsidR="005A3899" w:rsidRPr="001B2C4E">
        <w:rPr>
          <w:rFonts w:ascii="Arial" w:hAnsi="Arial" w:cs="Arial"/>
          <w:color w:val="000000" w:themeColor="text1"/>
          <w:sz w:val="22"/>
          <w:szCs w:val="22"/>
        </w:rPr>
        <w:t>20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>’</w:t>
      </w:r>
      <w:r w:rsidR="005A3899" w:rsidRPr="001B2C4E">
        <w:rPr>
          <w:rFonts w:ascii="Arial" w:hAnsi="Arial" w:cs="Arial"/>
          <w:color w:val="000000" w:themeColor="text1"/>
          <w:sz w:val="22"/>
          <w:szCs w:val="22"/>
        </w:rPr>
        <w:t>s</w:t>
      </w:r>
      <w:r w:rsidR="004B22A7" w:rsidRPr="001B2C4E">
        <w:rPr>
          <w:rFonts w:ascii="Arial" w:hAnsi="Arial" w:cs="Arial"/>
          <w:color w:val="000000" w:themeColor="text1"/>
          <w:sz w:val="22"/>
          <w:szCs w:val="22"/>
        </w:rPr>
        <w:t>ini</w:t>
      </w:r>
      <w:r w:rsidR="00685582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501F" w:rsidRPr="001B2C4E">
        <w:rPr>
          <w:rFonts w:ascii="Arial" w:hAnsi="Arial" w:cs="Arial"/>
          <w:color w:val="000000" w:themeColor="text1"/>
          <w:sz w:val="22"/>
          <w:szCs w:val="22"/>
        </w:rPr>
        <w:t>ticari kuruluşlar, yüzde</w:t>
      </w:r>
      <w:r w:rsidR="00DB14F4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3899" w:rsidRPr="001B2C4E">
        <w:rPr>
          <w:rFonts w:ascii="Arial" w:hAnsi="Arial" w:cs="Arial"/>
          <w:color w:val="000000" w:themeColor="text1"/>
          <w:sz w:val="22"/>
          <w:szCs w:val="22"/>
        </w:rPr>
        <w:t>4’ünü</w:t>
      </w:r>
      <w:r w:rsidR="002B3020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52F8" w:rsidRPr="001B2C4E">
        <w:rPr>
          <w:rFonts w:ascii="Arial" w:hAnsi="Arial" w:cs="Arial"/>
          <w:color w:val="000000" w:themeColor="text1"/>
          <w:sz w:val="22"/>
          <w:szCs w:val="22"/>
        </w:rPr>
        <w:t>resmi me</w:t>
      </w:r>
      <w:r w:rsidR="00E44076" w:rsidRPr="001B2C4E">
        <w:rPr>
          <w:rFonts w:ascii="Arial" w:hAnsi="Arial" w:cs="Arial"/>
          <w:color w:val="000000" w:themeColor="text1"/>
          <w:sz w:val="22"/>
          <w:szCs w:val="22"/>
        </w:rPr>
        <w:t xml:space="preserve">vduat, yüzde </w:t>
      </w:r>
      <w:r w:rsidR="004B22A7" w:rsidRPr="001B2C4E">
        <w:rPr>
          <w:rFonts w:ascii="Arial" w:hAnsi="Arial" w:cs="Arial"/>
          <w:color w:val="000000" w:themeColor="text1"/>
          <w:sz w:val="22"/>
          <w:szCs w:val="22"/>
        </w:rPr>
        <w:t>2’sini</w:t>
      </w:r>
      <w:r w:rsidR="00C32439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52F8" w:rsidRPr="001B2C4E">
        <w:rPr>
          <w:rFonts w:ascii="Arial" w:hAnsi="Arial" w:cs="Arial"/>
          <w:color w:val="000000" w:themeColor="text1"/>
          <w:sz w:val="22"/>
          <w:szCs w:val="22"/>
        </w:rPr>
        <w:t>diğer kuruluşlar</w:t>
      </w:r>
      <w:r w:rsidR="00C32439" w:rsidRPr="001B2C4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B14F4" w:rsidRPr="001B2C4E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BE54D2" w:rsidRPr="001B2C4E">
        <w:rPr>
          <w:rFonts w:ascii="Arial" w:hAnsi="Arial" w:cs="Arial"/>
          <w:color w:val="000000" w:themeColor="text1"/>
          <w:sz w:val="22"/>
          <w:szCs w:val="22"/>
        </w:rPr>
        <w:t>4’ünü</w:t>
      </w:r>
      <w:r w:rsidR="0057798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1DAA" w:rsidRPr="001B2C4E">
        <w:rPr>
          <w:rFonts w:ascii="Arial" w:hAnsi="Arial" w:cs="Arial"/>
          <w:color w:val="000000" w:themeColor="text1"/>
          <w:sz w:val="22"/>
          <w:szCs w:val="22"/>
        </w:rPr>
        <w:t>bankalar</w:t>
      </w:r>
      <w:r w:rsidR="005A3899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1DAA" w:rsidRPr="001B2C4E">
        <w:rPr>
          <w:rFonts w:ascii="Arial" w:hAnsi="Arial" w:cs="Arial"/>
          <w:color w:val="000000" w:themeColor="text1"/>
          <w:sz w:val="22"/>
          <w:szCs w:val="22"/>
        </w:rPr>
        <w:t xml:space="preserve">arası mevduat ve </w:t>
      </w:r>
      <w:r w:rsidR="00DB14F4" w:rsidRPr="001B2C4E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D91B9E" w:rsidRPr="001B2C4E">
        <w:rPr>
          <w:rFonts w:ascii="Arial" w:hAnsi="Arial" w:cs="Arial"/>
          <w:color w:val="000000" w:themeColor="text1"/>
          <w:sz w:val="22"/>
          <w:szCs w:val="22"/>
        </w:rPr>
        <w:t>38’ini</w:t>
      </w:r>
      <w:r w:rsidR="005552F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4076" w:rsidRPr="001B2C4E">
        <w:rPr>
          <w:rFonts w:ascii="Arial" w:hAnsi="Arial" w:cs="Arial"/>
          <w:color w:val="000000" w:themeColor="text1"/>
          <w:sz w:val="22"/>
          <w:szCs w:val="22"/>
        </w:rPr>
        <w:t>DTH</w:t>
      </w:r>
      <w:r w:rsidR="0057798F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oluşturmaktadır. Kıymetli madenler </w:t>
      </w:r>
      <w:r w:rsidR="005552F8" w:rsidRPr="001B2C4E">
        <w:rPr>
          <w:rFonts w:ascii="Arial" w:hAnsi="Arial" w:cs="Arial"/>
          <w:color w:val="000000" w:themeColor="text1"/>
          <w:sz w:val="22"/>
          <w:szCs w:val="22"/>
        </w:rPr>
        <w:t xml:space="preserve">depo hesaplarının payı yüzde </w:t>
      </w:r>
      <w:r w:rsidR="00D91B9E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48012C" w:rsidRPr="001B2C4E">
        <w:rPr>
          <w:rFonts w:ascii="Arial" w:hAnsi="Arial" w:cs="Arial"/>
          <w:color w:val="000000" w:themeColor="text1"/>
          <w:sz w:val="22"/>
          <w:szCs w:val="22"/>
        </w:rPr>
        <w:t xml:space="preserve"> düzeyindedir.</w:t>
      </w:r>
      <w:r w:rsidR="00AB0857" w:rsidRPr="001B2C4E">
        <w:rPr>
          <w:rFonts w:ascii="Arial" w:hAnsi="Arial" w:cs="Arial"/>
          <w:color w:val="000000" w:themeColor="text1"/>
          <w:sz w:val="22"/>
          <w:szCs w:val="22"/>
        </w:rPr>
        <w:t xml:space="preserve"> (Ek T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ablo 10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48012C" w:rsidRPr="001B2C4E" w:rsidRDefault="0048012C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Yurtiçi </w:t>
      </w:r>
      <w:r w:rsidR="005F62D2"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Şubelere Ait 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Mevduatın Bölgelere Göre Dağılımı</w:t>
      </w:r>
      <w:r w:rsidR="00B472FB" w:rsidRPr="001B2C4E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 (yüzde pay)</w:t>
      </w:r>
    </w:p>
    <w:p w:rsidR="0048012C" w:rsidRPr="001B2C4E" w:rsidRDefault="0048012C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8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28"/>
        <w:gridCol w:w="2172"/>
        <w:gridCol w:w="1769"/>
        <w:gridCol w:w="1377"/>
      </w:tblGrid>
      <w:tr w:rsidR="001B2C4E" w:rsidRPr="001B2C4E" w:rsidTr="00106A65">
        <w:trPr>
          <w:trHeight w:val="266"/>
        </w:trPr>
        <w:tc>
          <w:tcPr>
            <w:tcW w:w="2828" w:type="dxa"/>
            <w:tcBorders>
              <w:bottom w:val="single" w:sz="4" w:space="0" w:color="auto"/>
            </w:tcBorders>
          </w:tcPr>
          <w:p w:rsidR="00106A65" w:rsidRPr="001B2C4E" w:rsidRDefault="00106A65" w:rsidP="00994723">
            <w:pPr>
              <w:ind w:right="-5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tcBorders>
              <w:top w:val="single" w:sz="4" w:space="0" w:color="auto"/>
            </w:tcBorders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47,6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46,0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Batı Anadolu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19,1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14,4</w:t>
            </w:r>
          </w:p>
        </w:tc>
        <w:tc>
          <w:tcPr>
            <w:tcW w:w="1377" w:type="dxa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17,2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Ege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10,6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1377" w:type="dxa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10,1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Akdeniz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1377" w:type="dxa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7,9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Doğu Marmara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1377" w:type="dxa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6,3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Batı Marmara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2,6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377" w:type="dxa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2,6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Orta Anadolu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2,6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2,6</w:t>
            </w:r>
          </w:p>
        </w:tc>
        <w:tc>
          <w:tcPr>
            <w:tcW w:w="1377" w:type="dxa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2,4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D91B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Güneydoğu Anadolu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377" w:type="dxa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2,3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D91B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Batı Karadeniz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377" w:type="dxa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2,3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D91B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Doğu Karadeniz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377" w:type="dxa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1,4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D91B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Ortadoğu Anadolu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377" w:type="dxa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0,9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vAlign w:val="center"/>
          </w:tcPr>
          <w:p w:rsidR="00106A65" w:rsidRPr="001B2C4E" w:rsidRDefault="00106A65" w:rsidP="00D91B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Kuzeydoğu Anadolu</w:t>
            </w:r>
          </w:p>
        </w:tc>
        <w:tc>
          <w:tcPr>
            <w:tcW w:w="2172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769" w:type="dxa"/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377" w:type="dxa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0,5</w:t>
            </w:r>
          </w:p>
        </w:tc>
      </w:tr>
      <w:tr w:rsidR="001B2C4E" w:rsidRPr="001B2C4E" w:rsidTr="00106A65">
        <w:trPr>
          <w:trHeight w:val="266"/>
        </w:trPr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106A65" w:rsidRPr="001B2C4E" w:rsidRDefault="00106A65" w:rsidP="00D91B9E">
            <w:pPr>
              <w:ind w:right="-599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Toplam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06A65" w:rsidRPr="001B2C4E" w:rsidRDefault="00106A65" w:rsidP="00D91B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B472FB" w:rsidRPr="001B2C4E" w:rsidRDefault="00F87FF3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 20</w:t>
      </w:r>
      <w:r w:rsidR="00150F6F" w:rsidRPr="001B2C4E">
        <w:rPr>
          <w:rFonts w:ascii="Arial" w:hAnsi="Arial" w:cs="Arial"/>
          <w:color w:val="000000" w:themeColor="text1"/>
          <w:sz w:val="18"/>
          <w:szCs w:val="18"/>
        </w:rPr>
        <w:t>2</w:t>
      </w:r>
      <w:r w:rsidR="00D91B9E" w:rsidRPr="001B2C4E">
        <w:rPr>
          <w:rFonts w:ascii="Arial" w:hAnsi="Arial" w:cs="Arial"/>
          <w:color w:val="000000" w:themeColor="text1"/>
          <w:sz w:val="18"/>
          <w:szCs w:val="18"/>
        </w:rPr>
        <w:t>2</w:t>
      </w:r>
      <w:r w:rsidR="00B472FB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A55312" w:rsidRPr="001B2C4E" w:rsidRDefault="00A55312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</w:p>
    <w:p w:rsidR="000245DA" w:rsidRPr="001B2C4E" w:rsidRDefault="004C43E9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Bölgeler itibariyle, toplam mevduat içinde en yüksek payı yüzde </w:t>
      </w:r>
      <w:r w:rsidR="00CB765E" w:rsidRPr="001B2C4E">
        <w:rPr>
          <w:rFonts w:ascii="Arial" w:hAnsi="Arial" w:cs="Arial"/>
          <w:color w:val="000000" w:themeColor="text1"/>
          <w:sz w:val="22"/>
          <w:szCs w:val="22"/>
        </w:rPr>
        <w:t>4</w:t>
      </w:r>
      <w:r w:rsidR="00F045D6" w:rsidRPr="001B2C4E">
        <w:rPr>
          <w:rFonts w:ascii="Arial" w:hAnsi="Arial" w:cs="Arial"/>
          <w:color w:val="000000" w:themeColor="text1"/>
          <w:sz w:val="22"/>
          <w:szCs w:val="22"/>
        </w:rPr>
        <w:t>6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İstanb</w:t>
      </w:r>
      <w:r w:rsidR="00F87FF3" w:rsidRPr="001B2C4E">
        <w:rPr>
          <w:rFonts w:ascii="Arial" w:hAnsi="Arial" w:cs="Arial"/>
          <w:color w:val="000000" w:themeColor="text1"/>
          <w:sz w:val="22"/>
          <w:szCs w:val="22"/>
        </w:rPr>
        <w:t>ul almıştır. Bu bölgeyi yüzde 1</w:t>
      </w:r>
      <w:r w:rsidR="00F045D6" w:rsidRPr="001B2C4E">
        <w:rPr>
          <w:rFonts w:ascii="Arial" w:hAnsi="Arial" w:cs="Arial"/>
          <w:color w:val="000000" w:themeColor="text1"/>
          <w:sz w:val="22"/>
          <w:szCs w:val="22"/>
        </w:rPr>
        <w:t>7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Batı Anadolu izlemektedir. </w:t>
      </w:r>
    </w:p>
    <w:p w:rsidR="00505F20" w:rsidRPr="001B2C4E" w:rsidRDefault="004C43E9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Bölgeler itibariyle toplam mevduat içinde tasarruf mevduatının</w:t>
      </w:r>
      <w:r w:rsidR="00590C97" w:rsidRPr="001B2C4E">
        <w:rPr>
          <w:rFonts w:ascii="Arial" w:hAnsi="Arial" w:cs="Arial"/>
          <w:color w:val="000000" w:themeColor="text1"/>
          <w:sz w:val="22"/>
          <w:szCs w:val="22"/>
        </w:rPr>
        <w:t xml:space="preserve"> en yüksek olduğu bölge yüzde </w:t>
      </w:r>
      <w:r w:rsidR="008E53C1" w:rsidRPr="001B2C4E">
        <w:rPr>
          <w:rFonts w:ascii="Arial" w:hAnsi="Arial" w:cs="Arial"/>
          <w:color w:val="000000" w:themeColor="text1"/>
          <w:sz w:val="22"/>
          <w:szCs w:val="22"/>
        </w:rPr>
        <w:t>47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Batı </w:t>
      </w:r>
      <w:r w:rsidR="00154080" w:rsidRPr="001B2C4E">
        <w:rPr>
          <w:rFonts w:ascii="Arial" w:hAnsi="Arial" w:cs="Arial"/>
          <w:color w:val="000000" w:themeColor="text1"/>
          <w:sz w:val="22"/>
          <w:szCs w:val="22"/>
        </w:rPr>
        <w:t xml:space="preserve">Marmara’dır. Bu bölgeyi yüzde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43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29738D" w:rsidRPr="001B2C4E">
        <w:rPr>
          <w:rFonts w:ascii="Arial" w:hAnsi="Arial" w:cs="Arial"/>
          <w:color w:val="000000" w:themeColor="text1"/>
          <w:sz w:val="22"/>
          <w:szCs w:val="22"/>
        </w:rPr>
        <w:t>Doğu Karadeniz</w:t>
      </w:r>
      <w:r w:rsidR="003F350B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bölge</w:t>
      </w:r>
      <w:r w:rsidR="00E561F6" w:rsidRPr="001B2C4E">
        <w:rPr>
          <w:rFonts w:ascii="Arial" w:hAnsi="Arial" w:cs="Arial"/>
          <w:color w:val="000000" w:themeColor="text1"/>
          <w:sz w:val="22"/>
          <w:szCs w:val="22"/>
        </w:rPr>
        <w:t xml:space="preserve">si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izlemektedir. Öte yandan, toplam içinde döviz mevduatının en yük</w:t>
      </w:r>
      <w:r w:rsidR="008E6343" w:rsidRPr="001B2C4E">
        <w:rPr>
          <w:rFonts w:ascii="Arial" w:hAnsi="Arial" w:cs="Arial"/>
          <w:color w:val="000000" w:themeColor="text1"/>
          <w:sz w:val="22"/>
          <w:szCs w:val="22"/>
        </w:rPr>
        <w:t xml:space="preserve">sek olduğu bölgeler ise yüzde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45</w:t>
      </w:r>
      <w:r w:rsidR="00E561F6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ile Orta Anadolu, yüzde</w:t>
      </w:r>
      <w:r w:rsidR="00590C9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41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ile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 xml:space="preserve">Akdeniz ve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İstanbul olmuştur. (Ek Tablo 10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85070B" w:rsidRPr="001B2C4E" w:rsidRDefault="00F04D96" w:rsidP="00115ECB">
      <w:pPr>
        <w:spacing w:before="120" w:after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6</w:t>
      </w:r>
      <w:r w:rsidR="0085070B" w:rsidRPr="001B2C4E">
        <w:rPr>
          <w:rFonts w:ascii="Arial" w:hAnsi="Arial" w:cs="Arial"/>
          <w:b/>
          <w:color w:val="000000" w:themeColor="text1"/>
          <w:szCs w:val="24"/>
        </w:rPr>
        <w:t xml:space="preserve">. Kredilerin </w:t>
      </w:r>
      <w:r w:rsidR="00570C58" w:rsidRPr="001B2C4E">
        <w:rPr>
          <w:rFonts w:ascii="Arial" w:hAnsi="Arial" w:cs="Arial"/>
          <w:b/>
          <w:color w:val="000000" w:themeColor="text1"/>
          <w:szCs w:val="24"/>
        </w:rPr>
        <w:t>Seyri</w:t>
      </w:r>
    </w:p>
    <w:p w:rsidR="007A1188" w:rsidRPr="001B2C4E" w:rsidRDefault="008B3CDC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Y</w:t>
      </w:r>
      <w:r w:rsidR="00E719F2" w:rsidRPr="001B2C4E">
        <w:rPr>
          <w:rFonts w:ascii="Arial" w:hAnsi="Arial" w:cs="Arial"/>
          <w:color w:val="000000" w:themeColor="text1"/>
          <w:sz w:val="22"/>
          <w:szCs w:val="22"/>
        </w:rPr>
        <w:t xml:space="preserve">urtiçi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şubelere ait </w:t>
      </w:r>
      <w:r w:rsidR="00F30906" w:rsidRPr="001B2C4E">
        <w:rPr>
          <w:rFonts w:ascii="Arial" w:hAnsi="Arial" w:cs="Arial"/>
          <w:color w:val="000000" w:themeColor="text1"/>
          <w:sz w:val="22"/>
          <w:szCs w:val="22"/>
        </w:rPr>
        <w:t>kredi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ler</w:t>
      </w:r>
      <w:r w:rsidR="001F1611" w:rsidRPr="001B2C4E">
        <w:rPr>
          <w:rFonts w:ascii="Arial" w:hAnsi="Arial" w:cs="Arial"/>
          <w:color w:val="000000" w:themeColor="text1"/>
          <w:sz w:val="22"/>
          <w:szCs w:val="22"/>
        </w:rPr>
        <w:t>, 20</w:t>
      </w:r>
      <w:r w:rsidR="000C0CAA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D52520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4B22A7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0CAA" w:rsidRPr="001B2C4E">
        <w:rPr>
          <w:rFonts w:ascii="Arial" w:hAnsi="Arial" w:cs="Arial"/>
          <w:color w:val="000000" w:themeColor="text1"/>
          <w:sz w:val="22"/>
          <w:szCs w:val="22"/>
        </w:rPr>
        <w:t>yılı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0E4A9D" w:rsidRPr="001B2C4E">
        <w:rPr>
          <w:rFonts w:ascii="Arial" w:hAnsi="Arial" w:cs="Arial"/>
          <w:color w:val="000000" w:themeColor="text1"/>
          <w:sz w:val="22"/>
          <w:szCs w:val="22"/>
        </w:rPr>
        <w:t xml:space="preserve">onu itibariyle </w:t>
      </w:r>
      <w:r w:rsidR="00D52520" w:rsidRPr="001B2C4E">
        <w:rPr>
          <w:rFonts w:ascii="Arial" w:hAnsi="Arial" w:cs="Arial"/>
          <w:color w:val="000000" w:themeColor="text1"/>
          <w:sz w:val="22"/>
          <w:szCs w:val="22"/>
        </w:rPr>
        <w:t>6.802</w:t>
      </w:r>
      <w:r w:rsidR="006B5986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milyar TL (</w:t>
      </w:r>
      <w:r w:rsidR="00D52520" w:rsidRPr="001B2C4E">
        <w:rPr>
          <w:rFonts w:ascii="Arial" w:hAnsi="Arial" w:cs="Arial"/>
          <w:color w:val="000000" w:themeColor="text1"/>
          <w:sz w:val="22"/>
          <w:szCs w:val="22"/>
        </w:rPr>
        <w:t>364</w:t>
      </w:r>
      <w:r w:rsidR="006B5986" w:rsidRPr="001B2C4E">
        <w:rPr>
          <w:rFonts w:ascii="Arial" w:hAnsi="Arial" w:cs="Arial"/>
          <w:color w:val="000000" w:themeColor="text1"/>
          <w:sz w:val="22"/>
          <w:szCs w:val="22"/>
        </w:rPr>
        <w:t xml:space="preserve"> milyar dolar) </w:t>
      </w:r>
      <w:r w:rsidR="00DF6CD6" w:rsidRPr="001B2C4E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E4A9D" w:rsidRPr="001B2C4E">
        <w:rPr>
          <w:rFonts w:ascii="Arial" w:hAnsi="Arial" w:cs="Arial"/>
          <w:color w:val="000000" w:themeColor="text1"/>
          <w:sz w:val="22"/>
          <w:szCs w:val="22"/>
        </w:rPr>
        <w:t>Toplam k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redi stokunun gayri safi </w:t>
      </w:r>
      <w:r w:rsidR="00163F62" w:rsidRPr="001B2C4E">
        <w:rPr>
          <w:rFonts w:ascii="Arial" w:hAnsi="Arial" w:cs="Arial"/>
          <w:color w:val="000000" w:themeColor="text1"/>
          <w:sz w:val="22"/>
          <w:szCs w:val="22"/>
        </w:rPr>
        <w:t>yurtiçi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hasılaya oranı </w:t>
      </w:r>
      <w:r w:rsidR="00B61493" w:rsidRPr="001B2C4E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D52520" w:rsidRPr="001B2C4E">
        <w:rPr>
          <w:rFonts w:ascii="Arial" w:hAnsi="Arial" w:cs="Arial"/>
          <w:color w:val="000000" w:themeColor="text1"/>
          <w:sz w:val="22"/>
          <w:szCs w:val="22"/>
        </w:rPr>
        <w:t>45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3332" w:rsidRPr="001B2C4E">
        <w:rPr>
          <w:rFonts w:ascii="Arial" w:hAnsi="Arial" w:cs="Arial"/>
          <w:color w:val="000000" w:themeColor="text1"/>
          <w:sz w:val="22"/>
          <w:szCs w:val="22"/>
        </w:rPr>
        <w:t>düzeyinde gerçekleşmiştir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F0B29" w:rsidRPr="001B2C4E" w:rsidRDefault="002F0B29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Yurtiçi </w:t>
      </w:r>
      <w:r w:rsidR="005F62D2"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Şubelere Ait 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>Kredi</w:t>
      </w:r>
      <w:r w:rsidR="005F62D2" w:rsidRPr="001B2C4E">
        <w:rPr>
          <w:rFonts w:ascii="Arial" w:hAnsi="Arial" w:cs="Arial"/>
          <w:b/>
          <w:color w:val="000000" w:themeColor="text1"/>
          <w:sz w:val="22"/>
          <w:szCs w:val="22"/>
        </w:rPr>
        <w:t>lerin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 Bölgelere Göre Dağılımı</w:t>
      </w:r>
      <w:r w:rsidR="00B472FB" w:rsidRPr="001B2C4E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1B2C4E">
        <w:rPr>
          <w:rFonts w:ascii="Arial" w:hAnsi="Arial" w:cs="Arial"/>
          <w:b/>
          <w:color w:val="000000" w:themeColor="text1"/>
          <w:sz w:val="22"/>
          <w:szCs w:val="22"/>
        </w:rPr>
        <w:t xml:space="preserve"> (yüzde pay)</w:t>
      </w:r>
    </w:p>
    <w:p w:rsidR="002F0B29" w:rsidRPr="001B2C4E" w:rsidRDefault="002F0B29" w:rsidP="001E76AD">
      <w:pPr>
        <w:ind w:right="-5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8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02"/>
        <w:gridCol w:w="1204"/>
        <w:gridCol w:w="1450"/>
        <w:gridCol w:w="1450"/>
      </w:tblGrid>
      <w:tr w:rsidR="001B2C4E" w:rsidRPr="001B2C4E" w:rsidTr="00106A65">
        <w:trPr>
          <w:trHeight w:val="264"/>
        </w:trPr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99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06A65" w:rsidRPr="001B2C4E" w:rsidRDefault="00106A65" w:rsidP="00994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50,6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41,5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40,8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Batı Anadolu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17,6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15,3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Ege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7,6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10,8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10,9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Akdeniz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5,4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Doğu Marmara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6,7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6,7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7,0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Güneydoğu Anadolu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4,4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4,8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Batı Karadeniz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2,6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Batı Marmara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2,6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Orta Anadolu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2,4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Doğu Karadeniz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Ortadoğu Anadolu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Kuzeydoğu Anadolu</w:t>
            </w:r>
          </w:p>
        </w:tc>
        <w:tc>
          <w:tcPr>
            <w:tcW w:w="1204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50" w:type="dxa"/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50" w:type="dxa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color w:val="000000" w:themeColor="text1"/>
                <w:sz w:val="22"/>
                <w:szCs w:val="22"/>
              </w:rPr>
              <w:t>0,9</w:t>
            </w:r>
          </w:p>
        </w:tc>
      </w:tr>
      <w:tr w:rsidR="001B2C4E" w:rsidRPr="001B2C4E" w:rsidTr="00106A65">
        <w:trPr>
          <w:trHeight w:val="264"/>
        </w:trPr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D5252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Toplam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06A65" w:rsidRPr="001B2C4E" w:rsidRDefault="00106A65" w:rsidP="00D5252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2C4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B472FB" w:rsidRPr="001B2C4E" w:rsidRDefault="00C90275" w:rsidP="001E76AD">
      <w:pPr>
        <w:ind w:right="-59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2C4E">
        <w:rPr>
          <w:rFonts w:ascii="Arial" w:hAnsi="Arial" w:cs="Arial"/>
          <w:color w:val="000000" w:themeColor="text1"/>
          <w:sz w:val="18"/>
          <w:szCs w:val="18"/>
        </w:rPr>
        <w:t>* 20</w:t>
      </w:r>
      <w:r w:rsidR="000C0CAA" w:rsidRPr="001B2C4E">
        <w:rPr>
          <w:rFonts w:ascii="Arial" w:hAnsi="Arial" w:cs="Arial"/>
          <w:color w:val="000000" w:themeColor="text1"/>
          <w:sz w:val="18"/>
          <w:szCs w:val="18"/>
        </w:rPr>
        <w:t>2</w:t>
      </w:r>
      <w:r w:rsidR="006B226A" w:rsidRPr="001B2C4E">
        <w:rPr>
          <w:rFonts w:ascii="Arial" w:hAnsi="Arial" w:cs="Arial"/>
          <w:color w:val="000000" w:themeColor="text1"/>
          <w:sz w:val="18"/>
          <w:szCs w:val="18"/>
        </w:rPr>
        <w:t>2</w:t>
      </w:r>
      <w:r w:rsidR="00B472FB" w:rsidRPr="001B2C4E">
        <w:rPr>
          <w:rFonts w:ascii="Arial" w:hAnsi="Arial" w:cs="Arial"/>
          <w:color w:val="000000" w:themeColor="text1"/>
          <w:sz w:val="18"/>
          <w:szCs w:val="18"/>
        </w:rPr>
        <w:t xml:space="preserve"> yılı verilerine göre sıralanmıştır.</w:t>
      </w:r>
    </w:p>
    <w:p w:rsidR="002F0B29" w:rsidRPr="001B2C4E" w:rsidRDefault="002F0B29" w:rsidP="001E76AD">
      <w:pPr>
        <w:ind w:right="-599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6976BE" w:rsidRPr="001B2C4E" w:rsidRDefault="006976BE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Kredi stokunun yüzde 9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4’ü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ihtisas dışı, yüzde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6’sı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ise ihtisas kredileridir. İhtisas kredilerinin kendi içindeki dağılımlarına bakıldığında, yüzde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65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’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inin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tarım, yüzde 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6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’</w:t>
      </w:r>
      <w:r w:rsidR="00106A65" w:rsidRPr="001B2C4E">
        <w:rPr>
          <w:rFonts w:ascii="Arial" w:hAnsi="Arial" w:cs="Arial"/>
          <w:color w:val="000000" w:themeColor="text1"/>
          <w:sz w:val="22"/>
          <w:szCs w:val="22"/>
        </w:rPr>
        <w:t>ının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gayrimenkul </w:t>
      </w:r>
      <w:r w:rsidR="00ED1C82" w:rsidRPr="001B2C4E">
        <w:rPr>
          <w:rFonts w:ascii="Arial" w:hAnsi="Arial" w:cs="Arial"/>
          <w:color w:val="000000" w:themeColor="text1"/>
          <w:sz w:val="22"/>
          <w:szCs w:val="22"/>
        </w:rPr>
        <w:t>sektörüne verilen krediler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olduğu görülmektedir. (Ek Tablo 13)</w:t>
      </w:r>
    </w:p>
    <w:p w:rsidR="002942BA" w:rsidRPr="001B2C4E" w:rsidRDefault="002043E7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Tarım ihtisas kredilerinde, </w:t>
      </w:r>
      <w:r w:rsidR="005468EB" w:rsidRPr="001B2C4E">
        <w:rPr>
          <w:rFonts w:ascii="Arial" w:hAnsi="Arial" w:cs="Arial"/>
          <w:color w:val="000000" w:themeColor="text1"/>
          <w:sz w:val="22"/>
          <w:szCs w:val="22"/>
        </w:rPr>
        <w:t xml:space="preserve">Ege, </w:t>
      </w:r>
      <w:r w:rsidR="001A0815" w:rsidRPr="001B2C4E">
        <w:rPr>
          <w:rFonts w:ascii="Arial" w:hAnsi="Arial" w:cs="Arial"/>
          <w:color w:val="000000" w:themeColor="text1"/>
          <w:sz w:val="22"/>
          <w:szCs w:val="22"/>
        </w:rPr>
        <w:t>Akdeniz</w:t>
      </w:r>
      <w:r w:rsidR="00CA708A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A617F3">
        <w:rPr>
          <w:rFonts w:ascii="Arial" w:hAnsi="Arial" w:cs="Arial"/>
          <w:color w:val="000000" w:themeColor="text1"/>
          <w:sz w:val="22"/>
          <w:szCs w:val="22"/>
        </w:rPr>
        <w:t>Batı</w:t>
      </w:r>
      <w:r w:rsidR="001A0815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C46" w:rsidRPr="001B2C4E">
        <w:rPr>
          <w:rFonts w:ascii="Arial" w:hAnsi="Arial" w:cs="Arial"/>
          <w:color w:val="000000" w:themeColor="text1"/>
          <w:sz w:val="22"/>
          <w:szCs w:val="22"/>
        </w:rPr>
        <w:t>Anadolu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bölgeleri en çok paya sahip bölgelerdir. Bu üç bölgenin tarım ihtisas kredilerinde toplam payı yüzde </w:t>
      </w:r>
      <w:r w:rsidR="00895B47" w:rsidRPr="001B2C4E">
        <w:rPr>
          <w:rFonts w:ascii="Arial" w:hAnsi="Arial" w:cs="Arial"/>
          <w:color w:val="000000" w:themeColor="text1"/>
          <w:sz w:val="22"/>
          <w:szCs w:val="22"/>
        </w:rPr>
        <w:t>4</w:t>
      </w:r>
      <w:r w:rsidR="00A617F3">
        <w:rPr>
          <w:rFonts w:ascii="Arial" w:hAnsi="Arial" w:cs="Arial"/>
          <w:color w:val="000000" w:themeColor="text1"/>
          <w:sz w:val="22"/>
          <w:szCs w:val="22"/>
        </w:rPr>
        <w:t>6</w:t>
      </w:r>
      <w:r w:rsidR="00D80A95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düzeyindedir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. (Ek Tablo 13</w:t>
      </w:r>
      <w:r w:rsidR="002942BA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2043E7" w:rsidRPr="001B2C4E" w:rsidRDefault="00CA708A" w:rsidP="00115ECB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>G</w:t>
      </w:r>
      <w:r w:rsidR="00150F6F" w:rsidRPr="001B2C4E">
        <w:rPr>
          <w:rFonts w:ascii="Arial" w:hAnsi="Arial" w:cs="Arial"/>
          <w:color w:val="000000" w:themeColor="text1"/>
          <w:sz w:val="22"/>
          <w:szCs w:val="22"/>
        </w:rPr>
        <w:t>ayrimenkul kredilerinin yüzde 3</w:t>
      </w:r>
      <w:r w:rsidR="00C42C98" w:rsidRPr="001B2C4E">
        <w:rPr>
          <w:rFonts w:ascii="Arial" w:hAnsi="Arial" w:cs="Arial"/>
          <w:color w:val="000000" w:themeColor="text1"/>
          <w:sz w:val="22"/>
          <w:szCs w:val="22"/>
        </w:rPr>
        <w:t>6’sı</w:t>
      </w:r>
      <w:r w:rsidR="00C358D5" w:rsidRPr="001B2C4E">
        <w:rPr>
          <w:rFonts w:ascii="Arial" w:hAnsi="Arial" w:cs="Arial"/>
          <w:color w:val="000000" w:themeColor="text1"/>
          <w:sz w:val="22"/>
          <w:szCs w:val="22"/>
        </w:rPr>
        <w:t>,</w:t>
      </w:r>
      <w:r w:rsidR="00A0004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5A29" w:rsidRPr="001B2C4E">
        <w:rPr>
          <w:rFonts w:ascii="Arial" w:hAnsi="Arial" w:cs="Arial"/>
          <w:color w:val="000000" w:themeColor="text1"/>
          <w:sz w:val="22"/>
          <w:szCs w:val="22"/>
        </w:rPr>
        <w:t>Akdeniz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CA5A29" w:rsidRPr="001B2C4E">
        <w:rPr>
          <w:rFonts w:ascii="Arial" w:hAnsi="Arial" w:cs="Arial"/>
          <w:color w:val="000000" w:themeColor="text1"/>
          <w:sz w:val="22"/>
          <w:szCs w:val="22"/>
        </w:rPr>
        <w:t xml:space="preserve">Ege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bölgelerinde kullandırılmıştır.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(Ek Tablo 13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AD4A07" w:rsidRPr="001B2C4E" w:rsidRDefault="007A1188" w:rsidP="00115ECB">
      <w:pPr>
        <w:pStyle w:val="BodyTex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İstanbul’un kredilerdeki payı yüzde </w:t>
      </w:r>
      <w:r w:rsidR="00536C46" w:rsidRPr="001B2C4E">
        <w:rPr>
          <w:rFonts w:ascii="Arial" w:hAnsi="Arial" w:cs="Arial"/>
          <w:color w:val="000000" w:themeColor="text1"/>
          <w:sz w:val="22"/>
          <w:szCs w:val="22"/>
        </w:rPr>
        <w:t>4</w:t>
      </w:r>
      <w:r w:rsidR="00C42C98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düzeyindedir. Batı Anadolu ve Ege bölgele</w:t>
      </w:r>
      <w:r w:rsidR="00265C48" w:rsidRPr="001B2C4E">
        <w:rPr>
          <w:rFonts w:ascii="Arial" w:hAnsi="Arial" w:cs="Arial"/>
          <w:color w:val="000000" w:themeColor="text1"/>
          <w:sz w:val="22"/>
          <w:szCs w:val="22"/>
        </w:rPr>
        <w:t>rinin paylar</w:t>
      </w:r>
      <w:r w:rsidR="00895B47" w:rsidRPr="001B2C4E">
        <w:rPr>
          <w:rFonts w:ascii="Arial" w:hAnsi="Arial" w:cs="Arial"/>
          <w:color w:val="000000" w:themeColor="text1"/>
          <w:sz w:val="22"/>
          <w:szCs w:val="22"/>
        </w:rPr>
        <w:t>ı sırasıyla yüzde 1</w:t>
      </w:r>
      <w:r w:rsidR="00C42C98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EF0063" w:rsidRPr="001B2C4E">
        <w:rPr>
          <w:rFonts w:ascii="Arial" w:hAnsi="Arial" w:cs="Arial"/>
          <w:color w:val="000000" w:themeColor="text1"/>
          <w:sz w:val="22"/>
          <w:szCs w:val="22"/>
        </w:rPr>
        <w:t xml:space="preserve"> ve yüzde 11’dir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>.</w:t>
      </w:r>
      <w:r w:rsidR="00CA708A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(Ek Tablo 13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)</w:t>
      </w:r>
      <w:r w:rsidR="00EE4576" w:rsidRPr="001B2C4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7A1188" w:rsidRPr="001B2C4E" w:rsidRDefault="00F04D96" w:rsidP="00115ECB">
      <w:pPr>
        <w:spacing w:before="120" w:after="1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B2C4E">
        <w:rPr>
          <w:rFonts w:ascii="Arial" w:hAnsi="Arial" w:cs="Arial"/>
          <w:b/>
          <w:color w:val="000000" w:themeColor="text1"/>
          <w:szCs w:val="24"/>
        </w:rPr>
        <w:t>7</w:t>
      </w:r>
      <w:r w:rsidR="007A1188" w:rsidRPr="001B2C4E">
        <w:rPr>
          <w:rFonts w:ascii="Arial" w:hAnsi="Arial" w:cs="Arial"/>
          <w:b/>
          <w:color w:val="000000" w:themeColor="text1"/>
          <w:szCs w:val="24"/>
        </w:rPr>
        <w:t>. Mevduatın Krediye Dönüşmesi</w:t>
      </w:r>
    </w:p>
    <w:p w:rsidR="00157F25" w:rsidRPr="005F7530" w:rsidRDefault="000D52FC" w:rsidP="00115ECB">
      <w:pPr>
        <w:pStyle w:val="BodyText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Yurtiçi </w:t>
      </w:r>
      <w:r w:rsidR="008B3CDC" w:rsidRPr="001B2C4E">
        <w:rPr>
          <w:rFonts w:ascii="Arial" w:hAnsi="Arial" w:cs="Arial"/>
          <w:color w:val="000000" w:themeColor="text1"/>
          <w:sz w:val="22"/>
          <w:szCs w:val="22"/>
        </w:rPr>
        <w:t xml:space="preserve">şubelere ait </w:t>
      </w:r>
      <w:r w:rsidRPr="001B2C4E">
        <w:rPr>
          <w:rFonts w:ascii="Arial" w:hAnsi="Arial" w:cs="Arial"/>
          <w:color w:val="000000" w:themeColor="text1"/>
          <w:sz w:val="22"/>
          <w:szCs w:val="22"/>
        </w:rPr>
        <w:t xml:space="preserve">rakamlar dikkate alındığında, </w:t>
      </w:r>
      <w:r w:rsidR="00B36A02" w:rsidRPr="001B2C4E">
        <w:rPr>
          <w:rFonts w:ascii="Arial" w:hAnsi="Arial" w:cs="Arial"/>
          <w:color w:val="000000" w:themeColor="text1"/>
          <w:sz w:val="22"/>
          <w:szCs w:val="22"/>
        </w:rPr>
        <w:t>20</w:t>
      </w:r>
      <w:r w:rsidR="00150F6F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>2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sonu itib</w:t>
      </w:r>
      <w:r w:rsidR="00570C58" w:rsidRPr="001B2C4E">
        <w:rPr>
          <w:rFonts w:ascii="Arial" w:hAnsi="Arial" w:cs="Arial"/>
          <w:color w:val="000000" w:themeColor="text1"/>
          <w:sz w:val="22"/>
          <w:szCs w:val="22"/>
        </w:rPr>
        <w:t>ariyle mevduatın krediye dönüşme</w:t>
      </w:r>
      <w:r w:rsidR="00B36A02" w:rsidRPr="001B2C4E">
        <w:rPr>
          <w:rFonts w:ascii="Arial" w:hAnsi="Arial" w:cs="Arial"/>
          <w:color w:val="000000" w:themeColor="text1"/>
          <w:sz w:val="22"/>
          <w:szCs w:val="22"/>
        </w:rPr>
        <w:t xml:space="preserve"> oranı</w:t>
      </w:r>
      <w:r w:rsidR="0005072D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6A02" w:rsidRPr="001B2C4E">
        <w:rPr>
          <w:rFonts w:ascii="Arial" w:hAnsi="Arial" w:cs="Arial"/>
          <w:color w:val="000000" w:themeColor="text1"/>
          <w:sz w:val="22"/>
          <w:szCs w:val="22"/>
        </w:rPr>
        <w:t xml:space="preserve">bir önceki yıla göre 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>7,5</w:t>
      </w:r>
      <w:r w:rsidR="006945E3" w:rsidRPr="001B2C4E">
        <w:rPr>
          <w:rFonts w:ascii="Arial" w:hAnsi="Arial" w:cs="Arial"/>
          <w:color w:val="000000" w:themeColor="text1"/>
          <w:sz w:val="22"/>
          <w:szCs w:val="22"/>
        </w:rPr>
        <w:t xml:space="preserve"> puan </w:t>
      </w:r>
      <w:r w:rsidR="005E52F1" w:rsidRPr="001B2C4E">
        <w:rPr>
          <w:rFonts w:ascii="Arial" w:hAnsi="Arial" w:cs="Arial"/>
          <w:color w:val="000000" w:themeColor="text1"/>
          <w:sz w:val="22"/>
          <w:szCs w:val="22"/>
        </w:rPr>
        <w:t>azalarak</w:t>
      </w:r>
      <w:r w:rsidR="00D80A95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6A02" w:rsidRPr="001B2C4E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>82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6A02" w:rsidRPr="001B2C4E">
        <w:rPr>
          <w:rFonts w:ascii="Arial" w:hAnsi="Arial" w:cs="Arial"/>
          <w:color w:val="000000" w:themeColor="text1"/>
          <w:sz w:val="22"/>
          <w:szCs w:val="22"/>
        </w:rPr>
        <w:t>olmuştur.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1C82" w:rsidRPr="001B2C4E">
        <w:rPr>
          <w:rFonts w:ascii="Arial" w:hAnsi="Arial" w:cs="Arial"/>
          <w:color w:val="000000" w:themeColor="text1"/>
          <w:sz w:val="22"/>
          <w:szCs w:val="22"/>
        </w:rPr>
        <w:t>Güneydoğu Anadolu</w:t>
      </w:r>
      <w:r w:rsidR="00546939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 xml:space="preserve">ve Kuzeydoğu Anadolu </w:t>
      </w:r>
      <w:r w:rsidR="0051720D" w:rsidRPr="001B2C4E">
        <w:rPr>
          <w:rFonts w:ascii="Arial" w:hAnsi="Arial" w:cs="Arial"/>
          <w:color w:val="000000" w:themeColor="text1"/>
          <w:sz w:val="22"/>
          <w:szCs w:val="22"/>
        </w:rPr>
        <w:t xml:space="preserve">bölgeleri yüzde </w:t>
      </w:r>
      <w:r w:rsidR="00D82461" w:rsidRPr="001B2C4E">
        <w:rPr>
          <w:rFonts w:ascii="Arial" w:hAnsi="Arial" w:cs="Arial"/>
          <w:color w:val="000000" w:themeColor="text1"/>
          <w:sz w:val="22"/>
          <w:szCs w:val="22"/>
        </w:rPr>
        <w:t>1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>71</w:t>
      </w:r>
      <w:r w:rsidR="00D80A95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ve yüzde 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>143</w:t>
      </w:r>
      <w:r w:rsidR="00D82461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>ile kredi/mevduat oranının en yüksek olduğu bölgelerdir. Bu oranın en düşük olduğu bö</w:t>
      </w:r>
      <w:r w:rsidR="00DB6698" w:rsidRPr="001B2C4E">
        <w:rPr>
          <w:rFonts w:ascii="Arial" w:hAnsi="Arial" w:cs="Arial"/>
          <w:color w:val="000000" w:themeColor="text1"/>
          <w:sz w:val="22"/>
          <w:szCs w:val="22"/>
        </w:rPr>
        <w:t xml:space="preserve">lgeler ise, yüzde 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>73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ile </w:t>
      </w:r>
      <w:r w:rsidR="00ED1C82" w:rsidRPr="001B2C4E">
        <w:rPr>
          <w:rFonts w:ascii="Arial" w:hAnsi="Arial" w:cs="Arial"/>
          <w:color w:val="000000" w:themeColor="text1"/>
          <w:sz w:val="22"/>
          <w:szCs w:val="22"/>
        </w:rPr>
        <w:t>İstanbul</w:t>
      </w:r>
      <w:r w:rsidR="003E5E70" w:rsidRPr="001B2C4E">
        <w:rPr>
          <w:rFonts w:ascii="Arial" w:hAnsi="Arial" w:cs="Arial"/>
          <w:color w:val="000000" w:themeColor="text1"/>
          <w:sz w:val="22"/>
          <w:szCs w:val="22"/>
        </w:rPr>
        <w:t xml:space="preserve"> ve Batı Anadolu’dur.</w:t>
      </w:r>
      <w:r w:rsidR="007A1188" w:rsidRPr="001B2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(Ek Tablo 1</w:t>
      </w:r>
      <w:r w:rsidR="00234E6D" w:rsidRPr="001B2C4E">
        <w:rPr>
          <w:rFonts w:ascii="Arial" w:hAnsi="Arial" w:cs="Arial"/>
          <w:color w:val="000000" w:themeColor="text1"/>
          <w:sz w:val="22"/>
          <w:szCs w:val="22"/>
        </w:rPr>
        <w:t>5</w:t>
      </w:r>
      <w:r w:rsidR="00862379" w:rsidRPr="001B2C4E">
        <w:rPr>
          <w:rFonts w:ascii="Arial" w:hAnsi="Arial" w:cs="Arial"/>
          <w:color w:val="000000" w:themeColor="text1"/>
          <w:sz w:val="22"/>
          <w:szCs w:val="22"/>
        </w:rPr>
        <w:t>)</w:t>
      </w:r>
    </w:p>
    <w:sectPr w:rsidR="00157F25" w:rsidRPr="005F7530" w:rsidSect="00D021B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381" w:right="1986" w:bottom="1440" w:left="1814" w:header="1151" w:footer="431" w:gutter="0"/>
      <w:pgNumType w:fmt="lowerRoman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8F" w:rsidRDefault="00710C8F">
      <w:r>
        <w:separator/>
      </w:r>
    </w:p>
  </w:endnote>
  <w:endnote w:type="continuationSeparator" w:id="0">
    <w:p w:rsidR="00710C8F" w:rsidRDefault="007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9E" w:rsidRDefault="00D91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1B9E" w:rsidRDefault="00D91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301571"/>
      <w:docPartObj>
        <w:docPartGallery w:val="Page Numbers (Bottom of Page)"/>
        <w:docPartUnique/>
      </w:docPartObj>
    </w:sdtPr>
    <w:sdtEndPr/>
    <w:sdtContent>
      <w:p w:rsidR="00D91B9E" w:rsidRDefault="00D91B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70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D91B9E" w:rsidRDefault="00D91B9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9E" w:rsidRDefault="00D91B9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8F" w:rsidRDefault="00710C8F">
      <w:r>
        <w:separator/>
      </w:r>
    </w:p>
  </w:footnote>
  <w:footnote w:type="continuationSeparator" w:id="0">
    <w:p w:rsidR="00710C8F" w:rsidRDefault="00710C8F">
      <w:r>
        <w:continuationSeparator/>
      </w:r>
    </w:p>
  </w:footnote>
  <w:footnote w:id="1">
    <w:p w:rsidR="00D91B9E" w:rsidRDefault="00D91B9E" w:rsidP="00A775D5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  <w:p w:rsidR="00D91B9E" w:rsidRPr="004D2FE0" w:rsidRDefault="00D91B9E" w:rsidP="00A775D5">
      <w:pPr>
        <w:pStyle w:val="FootnoteText"/>
        <w:rPr>
          <w:rFonts w:ascii="Arial" w:hAnsi="Arial"/>
        </w:rPr>
      </w:pPr>
    </w:p>
  </w:footnote>
  <w:footnote w:id="2">
    <w:p w:rsidR="00D91B9E" w:rsidRPr="00B32BE5" w:rsidRDefault="00D91B9E" w:rsidP="00B32BE5">
      <w:pPr>
        <w:jc w:val="both"/>
        <w:rPr>
          <w:rFonts w:ascii="Arial" w:hAnsi="Arial" w:cs="Arial"/>
          <w:sz w:val="18"/>
          <w:szCs w:val="18"/>
        </w:rPr>
      </w:pPr>
      <w:r w:rsidRPr="00B32BE5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Raporda,</w:t>
      </w:r>
      <w:r w:rsidRPr="00B32BE5">
        <w:rPr>
          <w:rFonts w:ascii="Arial" w:hAnsi="Arial" w:cs="Arial"/>
          <w:sz w:val="18"/>
          <w:szCs w:val="18"/>
        </w:rPr>
        <w:t xml:space="preserve"> 22.9.2002 tarih ve 24884 sayılı Resmi Gazete' de yayınlanan 2002/4720 sayılı Bakanlar Kurulu Kararı'ndaki İstatistiki Bölge Birimleri sınıflandırması kullanılmıştır. </w:t>
      </w:r>
      <w:r>
        <w:rPr>
          <w:rFonts w:ascii="Arial" w:hAnsi="Arial" w:cs="Arial"/>
          <w:sz w:val="18"/>
          <w:szCs w:val="18"/>
        </w:rPr>
        <w:t>Buna göre İstanbul şehri, aynı zamanda tek başına bir bölgeyi de ifade etmektedir.</w:t>
      </w:r>
    </w:p>
    <w:p w:rsidR="00D91B9E" w:rsidRDefault="00D91B9E">
      <w:pPr>
        <w:pStyle w:val="FootnoteText"/>
      </w:pPr>
    </w:p>
  </w:footnote>
  <w:footnote w:id="3">
    <w:p w:rsidR="00D91B9E" w:rsidRPr="00F04D96" w:rsidRDefault="00D91B9E" w:rsidP="0061517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F04D96">
        <w:rPr>
          <w:rStyle w:val="FootnoteReference"/>
          <w:rFonts w:ascii="Arial" w:hAnsi="Arial" w:cs="Arial"/>
          <w:sz w:val="18"/>
          <w:szCs w:val="18"/>
        </w:rPr>
        <w:footnoteRef/>
      </w:r>
      <w:r w:rsidRPr="00F04D96">
        <w:rPr>
          <w:rFonts w:ascii="Arial" w:hAnsi="Arial" w:cs="Arial"/>
          <w:sz w:val="18"/>
          <w:szCs w:val="18"/>
        </w:rPr>
        <w:t xml:space="preserve"> Türkiye İ</w:t>
      </w:r>
      <w:r>
        <w:rPr>
          <w:rFonts w:ascii="Arial" w:hAnsi="Arial" w:cs="Arial"/>
          <w:sz w:val="18"/>
          <w:szCs w:val="18"/>
        </w:rPr>
        <w:t>statistik Kurumu tarafından 2021</w:t>
      </w:r>
      <w:r w:rsidRPr="00F04D96">
        <w:rPr>
          <w:rFonts w:ascii="Arial" w:hAnsi="Arial" w:cs="Arial"/>
          <w:sz w:val="18"/>
          <w:szCs w:val="18"/>
        </w:rPr>
        <w:t xml:space="preserve"> yılı için yapılan adrese dayalı nüfus kayıt sistemi (ADNKS) verileri kullanılmıştır.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9E" w:rsidRDefault="00D91B9E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9E" w:rsidRDefault="00D91B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0" name="Picture 1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B"/>
    <w:rsid w:val="0000094D"/>
    <w:rsid w:val="00001FEC"/>
    <w:rsid w:val="00003749"/>
    <w:rsid w:val="0000479D"/>
    <w:rsid w:val="00004F24"/>
    <w:rsid w:val="00015762"/>
    <w:rsid w:val="00023190"/>
    <w:rsid w:val="00024539"/>
    <w:rsid w:val="000245DA"/>
    <w:rsid w:val="00025598"/>
    <w:rsid w:val="000261C0"/>
    <w:rsid w:val="000264CF"/>
    <w:rsid w:val="00026B50"/>
    <w:rsid w:val="000325CE"/>
    <w:rsid w:val="0003296D"/>
    <w:rsid w:val="00034AAB"/>
    <w:rsid w:val="00036F03"/>
    <w:rsid w:val="000379AC"/>
    <w:rsid w:val="00040B6C"/>
    <w:rsid w:val="000416E4"/>
    <w:rsid w:val="000417F9"/>
    <w:rsid w:val="00044394"/>
    <w:rsid w:val="000446A6"/>
    <w:rsid w:val="00044DDD"/>
    <w:rsid w:val="00044E1C"/>
    <w:rsid w:val="0005072D"/>
    <w:rsid w:val="0005148B"/>
    <w:rsid w:val="00051941"/>
    <w:rsid w:val="000525D6"/>
    <w:rsid w:val="000540A3"/>
    <w:rsid w:val="00055BDB"/>
    <w:rsid w:val="000644CC"/>
    <w:rsid w:val="00070557"/>
    <w:rsid w:val="00073281"/>
    <w:rsid w:val="00073B0E"/>
    <w:rsid w:val="000746A5"/>
    <w:rsid w:val="00074EA6"/>
    <w:rsid w:val="00081BAB"/>
    <w:rsid w:val="00082569"/>
    <w:rsid w:val="00083DCD"/>
    <w:rsid w:val="00084A99"/>
    <w:rsid w:val="00084DD4"/>
    <w:rsid w:val="000874A9"/>
    <w:rsid w:val="000909CB"/>
    <w:rsid w:val="00090EBB"/>
    <w:rsid w:val="00091100"/>
    <w:rsid w:val="00091A71"/>
    <w:rsid w:val="0009502B"/>
    <w:rsid w:val="000A32F8"/>
    <w:rsid w:val="000A35A7"/>
    <w:rsid w:val="000A3E1C"/>
    <w:rsid w:val="000A692B"/>
    <w:rsid w:val="000A7BB1"/>
    <w:rsid w:val="000B14E8"/>
    <w:rsid w:val="000B1513"/>
    <w:rsid w:val="000B7185"/>
    <w:rsid w:val="000B7376"/>
    <w:rsid w:val="000C01B4"/>
    <w:rsid w:val="000C0CAA"/>
    <w:rsid w:val="000C157F"/>
    <w:rsid w:val="000C2029"/>
    <w:rsid w:val="000C3791"/>
    <w:rsid w:val="000D202A"/>
    <w:rsid w:val="000D240E"/>
    <w:rsid w:val="000D260E"/>
    <w:rsid w:val="000D30D8"/>
    <w:rsid w:val="000D4521"/>
    <w:rsid w:val="000D52FC"/>
    <w:rsid w:val="000E4A9D"/>
    <w:rsid w:val="000E71E7"/>
    <w:rsid w:val="000F0A6F"/>
    <w:rsid w:val="000F3840"/>
    <w:rsid w:val="000F4EF7"/>
    <w:rsid w:val="000F6459"/>
    <w:rsid w:val="000F7AF8"/>
    <w:rsid w:val="0010126F"/>
    <w:rsid w:val="00102B43"/>
    <w:rsid w:val="00103952"/>
    <w:rsid w:val="001049CF"/>
    <w:rsid w:val="00106A65"/>
    <w:rsid w:val="0010728F"/>
    <w:rsid w:val="00110C8C"/>
    <w:rsid w:val="00110C8F"/>
    <w:rsid w:val="00112FE4"/>
    <w:rsid w:val="001130E7"/>
    <w:rsid w:val="00115ECB"/>
    <w:rsid w:val="001202BC"/>
    <w:rsid w:val="00123E0F"/>
    <w:rsid w:val="00133524"/>
    <w:rsid w:val="00133A4E"/>
    <w:rsid w:val="00133DFE"/>
    <w:rsid w:val="001340FD"/>
    <w:rsid w:val="001420E7"/>
    <w:rsid w:val="001500CF"/>
    <w:rsid w:val="00150B76"/>
    <w:rsid w:val="00150F6F"/>
    <w:rsid w:val="00154080"/>
    <w:rsid w:val="00157F25"/>
    <w:rsid w:val="00163B10"/>
    <w:rsid w:val="00163F62"/>
    <w:rsid w:val="00167917"/>
    <w:rsid w:val="00172288"/>
    <w:rsid w:val="001750FE"/>
    <w:rsid w:val="001820C0"/>
    <w:rsid w:val="0018220A"/>
    <w:rsid w:val="00182241"/>
    <w:rsid w:val="0018470A"/>
    <w:rsid w:val="001A0815"/>
    <w:rsid w:val="001A0C90"/>
    <w:rsid w:val="001A2022"/>
    <w:rsid w:val="001A3BEF"/>
    <w:rsid w:val="001A43B3"/>
    <w:rsid w:val="001A4A5D"/>
    <w:rsid w:val="001B2C4E"/>
    <w:rsid w:val="001C1377"/>
    <w:rsid w:val="001C1D84"/>
    <w:rsid w:val="001C1EE9"/>
    <w:rsid w:val="001C253E"/>
    <w:rsid w:val="001C35EC"/>
    <w:rsid w:val="001C6048"/>
    <w:rsid w:val="001D04CD"/>
    <w:rsid w:val="001D68E9"/>
    <w:rsid w:val="001D7169"/>
    <w:rsid w:val="001E117D"/>
    <w:rsid w:val="001E2FEB"/>
    <w:rsid w:val="001E42DF"/>
    <w:rsid w:val="001E76AD"/>
    <w:rsid w:val="001E7F1B"/>
    <w:rsid w:val="001F1611"/>
    <w:rsid w:val="001F233E"/>
    <w:rsid w:val="001F465A"/>
    <w:rsid w:val="001F4C0E"/>
    <w:rsid w:val="001F6CF2"/>
    <w:rsid w:val="001F6EB6"/>
    <w:rsid w:val="002000C3"/>
    <w:rsid w:val="0020026B"/>
    <w:rsid w:val="00201C7A"/>
    <w:rsid w:val="0020297E"/>
    <w:rsid w:val="00202F27"/>
    <w:rsid w:val="002043E7"/>
    <w:rsid w:val="00205E92"/>
    <w:rsid w:val="00206C16"/>
    <w:rsid w:val="00207784"/>
    <w:rsid w:val="00212061"/>
    <w:rsid w:val="00213636"/>
    <w:rsid w:val="00214D28"/>
    <w:rsid w:val="0021722F"/>
    <w:rsid w:val="00224F63"/>
    <w:rsid w:val="0022520F"/>
    <w:rsid w:val="00227580"/>
    <w:rsid w:val="00227B60"/>
    <w:rsid w:val="00231126"/>
    <w:rsid w:val="002314C7"/>
    <w:rsid w:val="00234E6D"/>
    <w:rsid w:val="00236930"/>
    <w:rsid w:val="00240D27"/>
    <w:rsid w:val="002414C5"/>
    <w:rsid w:val="00247411"/>
    <w:rsid w:val="00255CA5"/>
    <w:rsid w:val="002572E5"/>
    <w:rsid w:val="00261645"/>
    <w:rsid w:val="0026414E"/>
    <w:rsid w:val="002654F5"/>
    <w:rsid w:val="00265C48"/>
    <w:rsid w:val="00266E77"/>
    <w:rsid w:val="002701AC"/>
    <w:rsid w:val="00270D96"/>
    <w:rsid w:val="00272C75"/>
    <w:rsid w:val="00272C9D"/>
    <w:rsid w:val="0027517C"/>
    <w:rsid w:val="00277B49"/>
    <w:rsid w:val="00284411"/>
    <w:rsid w:val="00284A23"/>
    <w:rsid w:val="002879A6"/>
    <w:rsid w:val="002903D8"/>
    <w:rsid w:val="002942BA"/>
    <w:rsid w:val="00294FED"/>
    <w:rsid w:val="002962CF"/>
    <w:rsid w:val="0029738D"/>
    <w:rsid w:val="002979C6"/>
    <w:rsid w:val="00297B94"/>
    <w:rsid w:val="002A3A04"/>
    <w:rsid w:val="002A43F0"/>
    <w:rsid w:val="002A7128"/>
    <w:rsid w:val="002B28DD"/>
    <w:rsid w:val="002B3020"/>
    <w:rsid w:val="002B3F1F"/>
    <w:rsid w:val="002B49E5"/>
    <w:rsid w:val="002B7DE4"/>
    <w:rsid w:val="002C1160"/>
    <w:rsid w:val="002C1C0A"/>
    <w:rsid w:val="002C21C9"/>
    <w:rsid w:val="002C3F15"/>
    <w:rsid w:val="002C4308"/>
    <w:rsid w:val="002C6D99"/>
    <w:rsid w:val="002D2411"/>
    <w:rsid w:val="002D3C11"/>
    <w:rsid w:val="002E0B51"/>
    <w:rsid w:val="002E1778"/>
    <w:rsid w:val="002E2043"/>
    <w:rsid w:val="002E303F"/>
    <w:rsid w:val="002E3071"/>
    <w:rsid w:val="002E43E8"/>
    <w:rsid w:val="002E7ED6"/>
    <w:rsid w:val="002F0B29"/>
    <w:rsid w:val="002F4ECD"/>
    <w:rsid w:val="002F67EB"/>
    <w:rsid w:val="00301CF0"/>
    <w:rsid w:val="003078B2"/>
    <w:rsid w:val="00311CB8"/>
    <w:rsid w:val="0031691B"/>
    <w:rsid w:val="003172E8"/>
    <w:rsid w:val="003233F5"/>
    <w:rsid w:val="00324CC4"/>
    <w:rsid w:val="003255B1"/>
    <w:rsid w:val="00326719"/>
    <w:rsid w:val="00326F80"/>
    <w:rsid w:val="00327313"/>
    <w:rsid w:val="00330F29"/>
    <w:rsid w:val="00331CAE"/>
    <w:rsid w:val="003348A1"/>
    <w:rsid w:val="003374BC"/>
    <w:rsid w:val="00340B77"/>
    <w:rsid w:val="00344E02"/>
    <w:rsid w:val="003455D6"/>
    <w:rsid w:val="00351031"/>
    <w:rsid w:val="003512FC"/>
    <w:rsid w:val="00351637"/>
    <w:rsid w:val="003549E0"/>
    <w:rsid w:val="00355749"/>
    <w:rsid w:val="003605F6"/>
    <w:rsid w:val="00360675"/>
    <w:rsid w:val="00360AD8"/>
    <w:rsid w:val="003656B9"/>
    <w:rsid w:val="00370524"/>
    <w:rsid w:val="00374ECF"/>
    <w:rsid w:val="00381A53"/>
    <w:rsid w:val="00383015"/>
    <w:rsid w:val="00384C76"/>
    <w:rsid w:val="00386BBA"/>
    <w:rsid w:val="00387BDC"/>
    <w:rsid w:val="003913D4"/>
    <w:rsid w:val="00391AB1"/>
    <w:rsid w:val="003A306C"/>
    <w:rsid w:val="003A66B1"/>
    <w:rsid w:val="003B1C68"/>
    <w:rsid w:val="003B4D08"/>
    <w:rsid w:val="003C6CD1"/>
    <w:rsid w:val="003C7765"/>
    <w:rsid w:val="003D44F9"/>
    <w:rsid w:val="003D5C35"/>
    <w:rsid w:val="003E085C"/>
    <w:rsid w:val="003E13EF"/>
    <w:rsid w:val="003E209E"/>
    <w:rsid w:val="003E4BF0"/>
    <w:rsid w:val="003E5E70"/>
    <w:rsid w:val="003F350B"/>
    <w:rsid w:val="003F4DED"/>
    <w:rsid w:val="00400026"/>
    <w:rsid w:val="0040323B"/>
    <w:rsid w:val="00403513"/>
    <w:rsid w:val="00403F7D"/>
    <w:rsid w:val="004041F5"/>
    <w:rsid w:val="00406634"/>
    <w:rsid w:val="0040697D"/>
    <w:rsid w:val="0041406B"/>
    <w:rsid w:val="00415E60"/>
    <w:rsid w:val="00430148"/>
    <w:rsid w:val="00430D45"/>
    <w:rsid w:val="00433ADD"/>
    <w:rsid w:val="004409E4"/>
    <w:rsid w:val="004455AB"/>
    <w:rsid w:val="0045150C"/>
    <w:rsid w:val="00453973"/>
    <w:rsid w:val="00456B9D"/>
    <w:rsid w:val="00456DE1"/>
    <w:rsid w:val="004613E2"/>
    <w:rsid w:val="0046396E"/>
    <w:rsid w:val="00464E89"/>
    <w:rsid w:val="0046774D"/>
    <w:rsid w:val="00470BE1"/>
    <w:rsid w:val="00471C1B"/>
    <w:rsid w:val="0048012C"/>
    <w:rsid w:val="00480FB0"/>
    <w:rsid w:val="0048103D"/>
    <w:rsid w:val="00482D22"/>
    <w:rsid w:val="00485C91"/>
    <w:rsid w:val="00486084"/>
    <w:rsid w:val="00486407"/>
    <w:rsid w:val="004965F7"/>
    <w:rsid w:val="00496BCC"/>
    <w:rsid w:val="004A0787"/>
    <w:rsid w:val="004A1CE3"/>
    <w:rsid w:val="004A5AD4"/>
    <w:rsid w:val="004A71E0"/>
    <w:rsid w:val="004A7F0F"/>
    <w:rsid w:val="004B1DCC"/>
    <w:rsid w:val="004B22A7"/>
    <w:rsid w:val="004B5E58"/>
    <w:rsid w:val="004B5F0D"/>
    <w:rsid w:val="004B6776"/>
    <w:rsid w:val="004B792B"/>
    <w:rsid w:val="004C1D31"/>
    <w:rsid w:val="004C225F"/>
    <w:rsid w:val="004C3ECF"/>
    <w:rsid w:val="004C43E9"/>
    <w:rsid w:val="004C5697"/>
    <w:rsid w:val="004D155C"/>
    <w:rsid w:val="004D3AD6"/>
    <w:rsid w:val="004E5A5D"/>
    <w:rsid w:val="004E678D"/>
    <w:rsid w:val="004F4B0A"/>
    <w:rsid w:val="004F5C89"/>
    <w:rsid w:val="00501244"/>
    <w:rsid w:val="00505F20"/>
    <w:rsid w:val="00506FC7"/>
    <w:rsid w:val="005074A8"/>
    <w:rsid w:val="0051360F"/>
    <w:rsid w:val="0051720D"/>
    <w:rsid w:val="00520D80"/>
    <w:rsid w:val="005248DA"/>
    <w:rsid w:val="00524D35"/>
    <w:rsid w:val="00525731"/>
    <w:rsid w:val="005303AC"/>
    <w:rsid w:val="00530567"/>
    <w:rsid w:val="00530841"/>
    <w:rsid w:val="005337A8"/>
    <w:rsid w:val="00533DED"/>
    <w:rsid w:val="00534A7B"/>
    <w:rsid w:val="00535006"/>
    <w:rsid w:val="00536C46"/>
    <w:rsid w:val="00541A3C"/>
    <w:rsid w:val="00545341"/>
    <w:rsid w:val="00545C6E"/>
    <w:rsid w:val="005468BA"/>
    <w:rsid w:val="005468EB"/>
    <w:rsid w:val="00546939"/>
    <w:rsid w:val="00546CCD"/>
    <w:rsid w:val="0055094D"/>
    <w:rsid w:val="00552CF4"/>
    <w:rsid w:val="005532ED"/>
    <w:rsid w:val="005552F8"/>
    <w:rsid w:val="00563CCA"/>
    <w:rsid w:val="00564A80"/>
    <w:rsid w:val="00565ECA"/>
    <w:rsid w:val="00570C58"/>
    <w:rsid w:val="005710D4"/>
    <w:rsid w:val="00573112"/>
    <w:rsid w:val="005773FF"/>
    <w:rsid w:val="0057798F"/>
    <w:rsid w:val="005813CA"/>
    <w:rsid w:val="00587894"/>
    <w:rsid w:val="00587C6C"/>
    <w:rsid w:val="00590C97"/>
    <w:rsid w:val="00592A58"/>
    <w:rsid w:val="00593145"/>
    <w:rsid w:val="0059608B"/>
    <w:rsid w:val="00597835"/>
    <w:rsid w:val="00597FA5"/>
    <w:rsid w:val="005A3899"/>
    <w:rsid w:val="005A4236"/>
    <w:rsid w:val="005A4AA1"/>
    <w:rsid w:val="005A57C7"/>
    <w:rsid w:val="005B1B34"/>
    <w:rsid w:val="005B5FAE"/>
    <w:rsid w:val="005C29DE"/>
    <w:rsid w:val="005C39FE"/>
    <w:rsid w:val="005C5753"/>
    <w:rsid w:val="005C60DB"/>
    <w:rsid w:val="005C6C55"/>
    <w:rsid w:val="005D3F06"/>
    <w:rsid w:val="005D4C76"/>
    <w:rsid w:val="005D5E00"/>
    <w:rsid w:val="005D5FB0"/>
    <w:rsid w:val="005D6874"/>
    <w:rsid w:val="005D7F30"/>
    <w:rsid w:val="005E52F1"/>
    <w:rsid w:val="005E5610"/>
    <w:rsid w:val="005F18F2"/>
    <w:rsid w:val="005F62D2"/>
    <w:rsid w:val="005F7530"/>
    <w:rsid w:val="006028B8"/>
    <w:rsid w:val="00602FD8"/>
    <w:rsid w:val="0060362B"/>
    <w:rsid w:val="0061150C"/>
    <w:rsid w:val="00611CCD"/>
    <w:rsid w:val="00614045"/>
    <w:rsid w:val="00615170"/>
    <w:rsid w:val="00616DDA"/>
    <w:rsid w:val="00620994"/>
    <w:rsid w:val="00624138"/>
    <w:rsid w:val="00625DCF"/>
    <w:rsid w:val="00633C13"/>
    <w:rsid w:val="00633CAD"/>
    <w:rsid w:val="006361D0"/>
    <w:rsid w:val="00651BDC"/>
    <w:rsid w:val="006526B6"/>
    <w:rsid w:val="00654453"/>
    <w:rsid w:val="00655015"/>
    <w:rsid w:val="00657175"/>
    <w:rsid w:val="00661DAE"/>
    <w:rsid w:val="00665A81"/>
    <w:rsid w:val="0067146F"/>
    <w:rsid w:val="006717FA"/>
    <w:rsid w:val="00673C97"/>
    <w:rsid w:val="0068355C"/>
    <w:rsid w:val="00685582"/>
    <w:rsid w:val="0068735B"/>
    <w:rsid w:val="00692399"/>
    <w:rsid w:val="006945E3"/>
    <w:rsid w:val="00694F80"/>
    <w:rsid w:val="006976BE"/>
    <w:rsid w:val="00697D82"/>
    <w:rsid w:val="006A093C"/>
    <w:rsid w:val="006A0FF0"/>
    <w:rsid w:val="006A794B"/>
    <w:rsid w:val="006B1270"/>
    <w:rsid w:val="006B226A"/>
    <w:rsid w:val="006B5388"/>
    <w:rsid w:val="006B5986"/>
    <w:rsid w:val="006C0737"/>
    <w:rsid w:val="006C0FD9"/>
    <w:rsid w:val="006C4063"/>
    <w:rsid w:val="006C468A"/>
    <w:rsid w:val="006C570D"/>
    <w:rsid w:val="006C5EE3"/>
    <w:rsid w:val="006C6428"/>
    <w:rsid w:val="006C6F76"/>
    <w:rsid w:val="006C73B3"/>
    <w:rsid w:val="006C7E94"/>
    <w:rsid w:val="006D0F7A"/>
    <w:rsid w:val="006D32B4"/>
    <w:rsid w:val="006D533A"/>
    <w:rsid w:val="006D7E0F"/>
    <w:rsid w:val="006E0951"/>
    <w:rsid w:val="006E0D04"/>
    <w:rsid w:val="006E178C"/>
    <w:rsid w:val="006E5C95"/>
    <w:rsid w:val="006F0FD7"/>
    <w:rsid w:val="006F11C6"/>
    <w:rsid w:val="006F321F"/>
    <w:rsid w:val="006F4558"/>
    <w:rsid w:val="006F6B5A"/>
    <w:rsid w:val="006F7013"/>
    <w:rsid w:val="00702552"/>
    <w:rsid w:val="00703087"/>
    <w:rsid w:val="007036F5"/>
    <w:rsid w:val="007078A1"/>
    <w:rsid w:val="00707F47"/>
    <w:rsid w:val="00710C8F"/>
    <w:rsid w:val="007129A4"/>
    <w:rsid w:val="00714E78"/>
    <w:rsid w:val="0071746F"/>
    <w:rsid w:val="00717E53"/>
    <w:rsid w:val="00722C76"/>
    <w:rsid w:val="00722FF5"/>
    <w:rsid w:val="00723532"/>
    <w:rsid w:val="007261E5"/>
    <w:rsid w:val="00742AA6"/>
    <w:rsid w:val="00746FEE"/>
    <w:rsid w:val="00747ABD"/>
    <w:rsid w:val="00756451"/>
    <w:rsid w:val="007578CD"/>
    <w:rsid w:val="007634D4"/>
    <w:rsid w:val="0076592A"/>
    <w:rsid w:val="00765CD5"/>
    <w:rsid w:val="00767C42"/>
    <w:rsid w:val="007737BF"/>
    <w:rsid w:val="0077428D"/>
    <w:rsid w:val="00774832"/>
    <w:rsid w:val="0077517E"/>
    <w:rsid w:val="00775E24"/>
    <w:rsid w:val="00775FD4"/>
    <w:rsid w:val="00785B21"/>
    <w:rsid w:val="00785F51"/>
    <w:rsid w:val="00786598"/>
    <w:rsid w:val="007876F7"/>
    <w:rsid w:val="007900B2"/>
    <w:rsid w:val="00792D37"/>
    <w:rsid w:val="00793969"/>
    <w:rsid w:val="00795AC3"/>
    <w:rsid w:val="00796D97"/>
    <w:rsid w:val="00797A5C"/>
    <w:rsid w:val="00797ADC"/>
    <w:rsid w:val="007A0B3B"/>
    <w:rsid w:val="007A1188"/>
    <w:rsid w:val="007A2D8B"/>
    <w:rsid w:val="007A4BDD"/>
    <w:rsid w:val="007A6271"/>
    <w:rsid w:val="007B5F62"/>
    <w:rsid w:val="007B65C3"/>
    <w:rsid w:val="007B76ED"/>
    <w:rsid w:val="007C1895"/>
    <w:rsid w:val="007C36D0"/>
    <w:rsid w:val="007C3E8E"/>
    <w:rsid w:val="007C50EF"/>
    <w:rsid w:val="007D1249"/>
    <w:rsid w:val="007D223D"/>
    <w:rsid w:val="007D2394"/>
    <w:rsid w:val="007D50E9"/>
    <w:rsid w:val="007D54C8"/>
    <w:rsid w:val="007D65D9"/>
    <w:rsid w:val="007D7823"/>
    <w:rsid w:val="007E128A"/>
    <w:rsid w:val="007E68CD"/>
    <w:rsid w:val="007E6F6A"/>
    <w:rsid w:val="007E7785"/>
    <w:rsid w:val="007F147E"/>
    <w:rsid w:val="007F2407"/>
    <w:rsid w:val="007F3C01"/>
    <w:rsid w:val="00801C24"/>
    <w:rsid w:val="00801D98"/>
    <w:rsid w:val="0080501F"/>
    <w:rsid w:val="008059FB"/>
    <w:rsid w:val="00806F46"/>
    <w:rsid w:val="008129F0"/>
    <w:rsid w:val="00813351"/>
    <w:rsid w:val="008167CF"/>
    <w:rsid w:val="00816938"/>
    <w:rsid w:val="00817527"/>
    <w:rsid w:val="00821F3F"/>
    <w:rsid w:val="00822458"/>
    <w:rsid w:val="00831825"/>
    <w:rsid w:val="00833CDB"/>
    <w:rsid w:val="00835B26"/>
    <w:rsid w:val="008379A8"/>
    <w:rsid w:val="0084116C"/>
    <w:rsid w:val="008425F5"/>
    <w:rsid w:val="00842DE4"/>
    <w:rsid w:val="00845102"/>
    <w:rsid w:val="0085070B"/>
    <w:rsid w:val="0085189F"/>
    <w:rsid w:val="0086176F"/>
    <w:rsid w:val="00862379"/>
    <w:rsid w:val="0087142D"/>
    <w:rsid w:val="00872EEC"/>
    <w:rsid w:val="008750E6"/>
    <w:rsid w:val="00877F88"/>
    <w:rsid w:val="00880EAA"/>
    <w:rsid w:val="0088228A"/>
    <w:rsid w:val="00883DA9"/>
    <w:rsid w:val="00890383"/>
    <w:rsid w:val="00890807"/>
    <w:rsid w:val="00890CA8"/>
    <w:rsid w:val="00890ED2"/>
    <w:rsid w:val="0089113D"/>
    <w:rsid w:val="0089303A"/>
    <w:rsid w:val="0089424A"/>
    <w:rsid w:val="00895B47"/>
    <w:rsid w:val="00895FE5"/>
    <w:rsid w:val="008A75D4"/>
    <w:rsid w:val="008A7C60"/>
    <w:rsid w:val="008B2AF2"/>
    <w:rsid w:val="008B3CDC"/>
    <w:rsid w:val="008B6ADA"/>
    <w:rsid w:val="008C04BE"/>
    <w:rsid w:val="008C0D82"/>
    <w:rsid w:val="008C1719"/>
    <w:rsid w:val="008C5D66"/>
    <w:rsid w:val="008C6316"/>
    <w:rsid w:val="008C67D6"/>
    <w:rsid w:val="008D2669"/>
    <w:rsid w:val="008E21ED"/>
    <w:rsid w:val="008E36DF"/>
    <w:rsid w:val="008E388B"/>
    <w:rsid w:val="008E4FDF"/>
    <w:rsid w:val="008E53C1"/>
    <w:rsid w:val="008E6343"/>
    <w:rsid w:val="008E6F3C"/>
    <w:rsid w:val="008F3182"/>
    <w:rsid w:val="008F46D8"/>
    <w:rsid w:val="009014C8"/>
    <w:rsid w:val="00910703"/>
    <w:rsid w:val="009117D6"/>
    <w:rsid w:val="00911C7B"/>
    <w:rsid w:val="009127E8"/>
    <w:rsid w:val="00912AF2"/>
    <w:rsid w:val="00912DD0"/>
    <w:rsid w:val="00914DC3"/>
    <w:rsid w:val="00917B71"/>
    <w:rsid w:val="00920584"/>
    <w:rsid w:val="0092263E"/>
    <w:rsid w:val="0092362C"/>
    <w:rsid w:val="00927372"/>
    <w:rsid w:val="00927B43"/>
    <w:rsid w:val="00930E3F"/>
    <w:rsid w:val="009323D5"/>
    <w:rsid w:val="009333D3"/>
    <w:rsid w:val="009368FD"/>
    <w:rsid w:val="00940FDD"/>
    <w:rsid w:val="00941907"/>
    <w:rsid w:val="009422A0"/>
    <w:rsid w:val="009443E4"/>
    <w:rsid w:val="009446C4"/>
    <w:rsid w:val="00945756"/>
    <w:rsid w:val="00945D76"/>
    <w:rsid w:val="00951695"/>
    <w:rsid w:val="00954902"/>
    <w:rsid w:val="00973E18"/>
    <w:rsid w:val="00975227"/>
    <w:rsid w:val="00975DE2"/>
    <w:rsid w:val="0097734D"/>
    <w:rsid w:val="00977D05"/>
    <w:rsid w:val="009803AB"/>
    <w:rsid w:val="0098216E"/>
    <w:rsid w:val="0098282B"/>
    <w:rsid w:val="009832E1"/>
    <w:rsid w:val="00983A9F"/>
    <w:rsid w:val="00985576"/>
    <w:rsid w:val="00987325"/>
    <w:rsid w:val="0098740B"/>
    <w:rsid w:val="00990905"/>
    <w:rsid w:val="00990AFC"/>
    <w:rsid w:val="00992405"/>
    <w:rsid w:val="00992AF9"/>
    <w:rsid w:val="0099459E"/>
    <w:rsid w:val="00994723"/>
    <w:rsid w:val="00995484"/>
    <w:rsid w:val="00995D1E"/>
    <w:rsid w:val="009971DA"/>
    <w:rsid w:val="009A3332"/>
    <w:rsid w:val="009A71A9"/>
    <w:rsid w:val="009B28C8"/>
    <w:rsid w:val="009B2DD1"/>
    <w:rsid w:val="009B4E0C"/>
    <w:rsid w:val="009B5F26"/>
    <w:rsid w:val="009C070F"/>
    <w:rsid w:val="009C12DE"/>
    <w:rsid w:val="009C2DC8"/>
    <w:rsid w:val="009C43D3"/>
    <w:rsid w:val="009C64D6"/>
    <w:rsid w:val="009D3FA1"/>
    <w:rsid w:val="009D40CB"/>
    <w:rsid w:val="009D49AE"/>
    <w:rsid w:val="009E45D8"/>
    <w:rsid w:val="009E54CF"/>
    <w:rsid w:val="009E6CB9"/>
    <w:rsid w:val="009F09ED"/>
    <w:rsid w:val="009F1766"/>
    <w:rsid w:val="009F25CA"/>
    <w:rsid w:val="009F5565"/>
    <w:rsid w:val="009F561D"/>
    <w:rsid w:val="00A00041"/>
    <w:rsid w:val="00A01278"/>
    <w:rsid w:val="00A0159D"/>
    <w:rsid w:val="00A04A21"/>
    <w:rsid w:val="00A05F35"/>
    <w:rsid w:val="00A06207"/>
    <w:rsid w:val="00A074DF"/>
    <w:rsid w:val="00A17BB7"/>
    <w:rsid w:val="00A207ED"/>
    <w:rsid w:val="00A25A32"/>
    <w:rsid w:val="00A25C2E"/>
    <w:rsid w:val="00A26129"/>
    <w:rsid w:val="00A26FBF"/>
    <w:rsid w:val="00A279D7"/>
    <w:rsid w:val="00A30E83"/>
    <w:rsid w:val="00A310B8"/>
    <w:rsid w:val="00A31DE1"/>
    <w:rsid w:val="00A32E58"/>
    <w:rsid w:val="00A348D1"/>
    <w:rsid w:val="00A41B9D"/>
    <w:rsid w:val="00A41CC6"/>
    <w:rsid w:val="00A42055"/>
    <w:rsid w:val="00A42883"/>
    <w:rsid w:val="00A43A03"/>
    <w:rsid w:val="00A46EA4"/>
    <w:rsid w:val="00A507AF"/>
    <w:rsid w:val="00A51E84"/>
    <w:rsid w:val="00A55312"/>
    <w:rsid w:val="00A558B4"/>
    <w:rsid w:val="00A57CF1"/>
    <w:rsid w:val="00A617B0"/>
    <w:rsid w:val="00A617F3"/>
    <w:rsid w:val="00A62652"/>
    <w:rsid w:val="00A65635"/>
    <w:rsid w:val="00A65AB6"/>
    <w:rsid w:val="00A67B28"/>
    <w:rsid w:val="00A75A73"/>
    <w:rsid w:val="00A775D5"/>
    <w:rsid w:val="00A77F71"/>
    <w:rsid w:val="00A806A4"/>
    <w:rsid w:val="00A81A49"/>
    <w:rsid w:val="00A81AD8"/>
    <w:rsid w:val="00A844B6"/>
    <w:rsid w:val="00A91008"/>
    <w:rsid w:val="00A920C2"/>
    <w:rsid w:val="00A9280D"/>
    <w:rsid w:val="00A939B8"/>
    <w:rsid w:val="00A93DF3"/>
    <w:rsid w:val="00A94A04"/>
    <w:rsid w:val="00A96D18"/>
    <w:rsid w:val="00A9798F"/>
    <w:rsid w:val="00A97D8B"/>
    <w:rsid w:val="00AA0018"/>
    <w:rsid w:val="00AA57A2"/>
    <w:rsid w:val="00AA6A88"/>
    <w:rsid w:val="00AA7215"/>
    <w:rsid w:val="00AA780C"/>
    <w:rsid w:val="00AB0857"/>
    <w:rsid w:val="00AB1DAA"/>
    <w:rsid w:val="00AB3B63"/>
    <w:rsid w:val="00AB3DA1"/>
    <w:rsid w:val="00AB4290"/>
    <w:rsid w:val="00AB7946"/>
    <w:rsid w:val="00AC3BE4"/>
    <w:rsid w:val="00AC6B48"/>
    <w:rsid w:val="00AD389D"/>
    <w:rsid w:val="00AD4A07"/>
    <w:rsid w:val="00AD52BE"/>
    <w:rsid w:val="00AE02B3"/>
    <w:rsid w:val="00AE1005"/>
    <w:rsid w:val="00AE28EE"/>
    <w:rsid w:val="00AE32A5"/>
    <w:rsid w:val="00AE4617"/>
    <w:rsid w:val="00AE4826"/>
    <w:rsid w:val="00AF1FD6"/>
    <w:rsid w:val="00AF236A"/>
    <w:rsid w:val="00AF2766"/>
    <w:rsid w:val="00B00FD7"/>
    <w:rsid w:val="00B014CB"/>
    <w:rsid w:val="00B03576"/>
    <w:rsid w:val="00B042E9"/>
    <w:rsid w:val="00B12624"/>
    <w:rsid w:val="00B13C63"/>
    <w:rsid w:val="00B1440A"/>
    <w:rsid w:val="00B14F45"/>
    <w:rsid w:val="00B21B29"/>
    <w:rsid w:val="00B23959"/>
    <w:rsid w:val="00B23DF7"/>
    <w:rsid w:val="00B27308"/>
    <w:rsid w:val="00B307A1"/>
    <w:rsid w:val="00B3083D"/>
    <w:rsid w:val="00B30898"/>
    <w:rsid w:val="00B3094C"/>
    <w:rsid w:val="00B32BE5"/>
    <w:rsid w:val="00B36A02"/>
    <w:rsid w:val="00B36EC4"/>
    <w:rsid w:val="00B41A47"/>
    <w:rsid w:val="00B44F17"/>
    <w:rsid w:val="00B46F59"/>
    <w:rsid w:val="00B472FB"/>
    <w:rsid w:val="00B54679"/>
    <w:rsid w:val="00B61493"/>
    <w:rsid w:val="00B62028"/>
    <w:rsid w:val="00B62FF2"/>
    <w:rsid w:val="00B63589"/>
    <w:rsid w:val="00B675A5"/>
    <w:rsid w:val="00B71081"/>
    <w:rsid w:val="00B7265D"/>
    <w:rsid w:val="00B72B93"/>
    <w:rsid w:val="00B73186"/>
    <w:rsid w:val="00B73CD9"/>
    <w:rsid w:val="00B74D47"/>
    <w:rsid w:val="00B74FBC"/>
    <w:rsid w:val="00B81831"/>
    <w:rsid w:val="00B81AF0"/>
    <w:rsid w:val="00B830DB"/>
    <w:rsid w:val="00B83F54"/>
    <w:rsid w:val="00B85CD9"/>
    <w:rsid w:val="00B908B7"/>
    <w:rsid w:val="00B908BE"/>
    <w:rsid w:val="00B9225E"/>
    <w:rsid w:val="00B945ED"/>
    <w:rsid w:val="00BA3733"/>
    <w:rsid w:val="00BA5C8E"/>
    <w:rsid w:val="00BA69E8"/>
    <w:rsid w:val="00BA7793"/>
    <w:rsid w:val="00BB1EF9"/>
    <w:rsid w:val="00BB32E4"/>
    <w:rsid w:val="00BB3A83"/>
    <w:rsid w:val="00BB489B"/>
    <w:rsid w:val="00BB4F90"/>
    <w:rsid w:val="00BB4FCF"/>
    <w:rsid w:val="00BC1AC2"/>
    <w:rsid w:val="00BC1B69"/>
    <w:rsid w:val="00BD0C98"/>
    <w:rsid w:val="00BD3790"/>
    <w:rsid w:val="00BD4188"/>
    <w:rsid w:val="00BD41EB"/>
    <w:rsid w:val="00BD4E7E"/>
    <w:rsid w:val="00BD6111"/>
    <w:rsid w:val="00BD6EC5"/>
    <w:rsid w:val="00BE1783"/>
    <w:rsid w:val="00BE21C2"/>
    <w:rsid w:val="00BE52B3"/>
    <w:rsid w:val="00BE54D2"/>
    <w:rsid w:val="00BE6D1D"/>
    <w:rsid w:val="00BF0298"/>
    <w:rsid w:val="00BF1DDE"/>
    <w:rsid w:val="00BF45B8"/>
    <w:rsid w:val="00BF4621"/>
    <w:rsid w:val="00BF5400"/>
    <w:rsid w:val="00C00AB6"/>
    <w:rsid w:val="00C04782"/>
    <w:rsid w:val="00C10132"/>
    <w:rsid w:val="00C10471"/>
    <w:rsid w:val="00C13F32"/>
    <w:rsid w:val="00C2162E"/>
    <w:rsid w:val="00C232F2"/>
    <w:rsid w:val="00C25BE9"/>
    <w:rsid w:val="00C3202B"/>
    <w:rsid w:val="00C32439"/>
    <w:rsid w:val="00C358D5"/>
    <w:rsid w:val="00C42C98"/>
    <w:rsid w:val="00C45082"/>
    <w:rsid w:val="00C46444"/>
    <w:rsid w:val="00C5298A"/>
    <w:rsid w:val="00C54B03"/>
    <w:rsid w:val="00C54B50"/>
    <w:rsid w:val="00C64A09"/>
    <w:rsid w:val="00C65A86"/>
    <w:rsid w:val="00C70B3F"/>
    <w:rsid w:val="00C71AF9"/>
    <w:rsid w:val="00C724E9"/>
    <w:rsid w:val="00C7446D"/>
    <w:rsid w:val="00C751D6"/>
    <w:rsid w:val="00C810A6"/>
    <w:rsid w:val="00C81A81"/>
    <w:rsid w:val="00C821FD"/>
    <w:rsid w:val="00C90275"/>
    <w:rsid w:val="00C91878"/>
    <w:rsid w:val="00C9331F"/>
    <w:rsid w:val="00C943A8"/>
    <w:rsid w:val="00C949DD"/>
    <w:rsid w:val="00CA3F64"/>
    <w:rsid w:val="00CA5A29"/>
    <w:rsid w:val="00CA67CB"/>
    <w:rsid w:val="00CA708A"/>
    <w:rsid w:val="00CB0935"/>
    <w:rsid w:val="00CB095D"/>
    <w:rsid w:val="00CB139C"/>
    <w:rsid w:val="00CB1A40"/>
    <w:rsid w:val="00CB21A0"/>
    <w:rsid w:val="00CB39C3"/>
    <w:rsid w:val="00CB765E"/>
    <w:rsid w:val="00CC643B"/>
    <w:rsid w:val="00CC66F8"/>
    <w:rsid w:val="00CD462B"/>
    <w:rsid w:val="00CD5516"/>
    <w:rsid w:val="00CE04C0"/>
    <w:rsid w:val="00CE4D22"/>
    <w:rsid w:val="00CE66AE"/>
    <w:rsid w:val="00CF45A2"/>
    <w:rsid w:val="00CF54A8"/>
    <w:rsid w:val="00CF72B4"/>
    <w:rsid w:val="00D021B2"/>
    <w:rsid w:val="00D07D97"/>
    <w:rsid w:val="00D111BA"/>
    <w:rsid w:val="00D11289"/>
    <w:rsid w:val="00D11463"/>
    <w:rsid w:val="00D1217B"/>
    <w:rsid w:val="00D1239B"/>
    <w:rsid w:val="00D12421"/>
    <w:rsid w:val="00D17C43"/>
    <w:rsid w:val="00D2013A"/>
    <w:rsid w:val="00D22424"/>
    <w:rsid w:val="00D22453"/>
    <w:rsid w:val="00D2386E"/>
    <w:rsid w:val="00D314BA"/>
    <w:rsid w:val="00D33547"/>
    <w:rsid w:val="00D36F42"/>
    <w:rsid w:val="00D37E58"/>
    <w:rsid w:val="00D40E85"/>
    <w:rsid w:val="00D4105E"/>
    <w:rsid w:val="00D41A25"/>
    <w:rsid w:val="00D41B20"/>
    <w:rsid w:val="00D430CF"/>
    <w:rsid w:val="00D47917"/>
    <w:rsid w:val="00D52520"/>
    <w:rsid w:val="00D53325"/>
    <w:rsid w:val="00D550E8"/>
    <w:rsid w:val="00D56762"/>
    <w:rsid w:val="00D5708A"/>
    <w:rsid w:val="00D5780B"/>
    <w:rsid w:val="00D64EFA"/>
    <w:rsid w:val="00D744C0"/>
    <w:rsid w:val="00D749D3"/>
    <w:rsid w:val="00D77588"/>
    <w:rsid w:val="00D77FF0"/>
    <w:rsid w:val="00D80A95"/>
    <w:rsid w:val="00D81C5D"/>
    <w:rsid w:val="00D82461"/>
    <w:rsid w:val="00D83FDA"/>
    <w:rsid w:val="00D85F4A"/>
    <w:rsid w:val="00D864E3"/>
    <w:rsid w:val="00D8721F"/>
    <w:rsid w:val="00D873DA"/>
    <w:rsid w:val="00D91A95"/>
    <w:rsid w:val="00D91B9E"/>
    <w:rsid w:val="00D9205F"/>
    <w:rsid w:val="00D92573"/>
    <w:rsid w:val="00D937B5"/>
    <w:rsid w:val="00D97334"/>
    <w:rsid w:val="00D97453"/>
    <w:rsid w:val="00DA057F"/>
    <w:rsid w:val="00DA0C12"/>
    <w:rsid w:val="00DA0C6F"/>
    <w:rsid w:val="00DA14BD"/>
    <w:rsid w:val="00DA445D"/>
    <w:rsid w:val="00DB14F4"/>
    <w:rsid w:val="00DB1867"/>
    <w:rsid w:val="00DB26DA"/>
    <w:rsid w:val="00DB35B4"/>
    <w:rsid w:val="00DB35B6"/>
    <w:rsid w:val="00DB6698"/>
    <w:rsid w:val="00DB6D11"/>
    <w:rsid w:val="00DB78E7"/>
    <w:rsid w:val="00DC125F"/>
    <w:rsid w:val="00DC1364"/>
    <w:rsid w:val="00DC1862"/>
    <w:rsid w:val="00DC318A"/>
    <w:rsid w:val="00DC4EBE"/>
    <w:rsid w:val="00DC5C68"/>
    <w:rsid w:val="00DD1EBE"/>
    <w:rsid w:val="00DD5F6D"/>
    <w:rsid w:val="00DD6872"/>
    <w:rsid w:val="00DE20EE"/>
    <w:rsid w:val="00DE3A7B"/>
    <w:rsid w:val="00DE47B8"/>
    <w:rsid w:val="00DE4F48"/>
    <w:rsid w:val="00DE5154"/>
    <w:rsid w:val="00DF01F5"/>
    <w:rsid w:val="00DF063F"/>
    <w:rsid w:val="00DF3780"/>
    <w:rsid w:val="00DF6CD6"/>
    <w:rsid w:val="00E03A6C"/>
    <w:rsid w:val="00E06286"/>
    <w:rsid w:val="00E12E0C"/>
    <w:rsid w:val="00E13627"/>
    <w:rsid w:val="00E1436B"/>
    <w:rsid w:val="00E157B7"/>
    <w:rsid w:val="00E15EB9"/>
    <w:rsid w:val="00E234C9"/>
    <w:rsid w:val="00E23E9A"/>
    <w:rsid w:val="00E25F16"/>
    <w:rsid w:val="00E27431"/>
    <w:rsid w:val="00E32DD4"/>
    <w:rsid w:val="00E35F4E"/>
    <w:rsid w:val="00E436C5"/>
    <w:rsid w:val="00E44076"/>
    <w:rsid w:val="00E45EB7"/>
    <w:rsid w:val="00E516FE"/>
    <w:rsid w:val="00E52D5C"/>
    <w:rsid w:val="00E55099"/>
    <w:rsid w:val="00E561F6"/>
    <w:rsid w:val="00E57A01"/>
    <w:rsid w:val="00E60106"/>
    <w:rsid w:val="00E609A3"/>
    <w:rsid w:val="00E6154A"/>
    <w:rsid w:val="00E62C16"/>
    <w:rsid w:val="00E6336D"/>
    <w:rsid w:val="00E66C3A"/>
    <w:rsid w:val="00E719F2"/>
    <w:rsid w:val="00E75100"/>
    <w:rsid w:val="00E75A3B"/>
    <w:rsid w:val="00E81238"/>
    <w:rsid w:val="00E8145D"/>
    <w:rsid w:val="00E83341"/>
    <w:rsid w:val="00E84938"/>
    <w:rsid w:val="00E869BE"/>
    <w:rsid w:val="00E87A44"/>
    <w:rsid w:val="00E915E6"/>
    <w:rsid w:val="00EA278F"/>
    <w:rsid w:val="00EA3D5E"/>
    <w:rsid w:val="00EA4A22"/>
    <w:rsid w:val="00EB0D55"/>
    <w:rsid w:val="00EB2F74"/>
    <w:rsid w:val="00EB3CBB"/>
    <w:rsid w:val="00EB48D6"/>
    <w:rsid w:val="00EB70B9"/>
    <w:rsid w:val="00EC1CEE"/>
    <w:rsid w:val="00EC2971"/>
    <w:rsid w:val="00EC4D3D"/>
    <w:rsid w:val="00EC7FD2"/>
    <w:rsid w:val="00ED0865"/>
    <w:rsid w:val="00ED1C82"/>
    <w:rsid w:val="00ED278C"/>
    <w:rsid w:val="00ED7550"/>
    <w:rsid w:val="00EE1A49"/>
    <w:rsid w:val="00EE4576"/>
    <w:rsid w:val="00EF0063"/>
    <w:rsid w:val="00EF1BA9"/>
    <w:rsid w:val="00EF1F06"/>
    <w:rsid w:val="00EF2527"/>
    <w:rsid w:val="00EF5945"/>
    <w:rsid w:val="00EF7B66"/>
    <w:rsid w:val="00F045D6"/>
    <w:rsid w:val="00F04D96"/>
    <w:rsid w:val="00F06649"/>
    <w:rsid w:val="00F06AF2"/>
    <w:rsid w:val="00F121E1"/>
    <w:rsid w:val="00F121E3"/>
    <w:rsid w:val="00F20953"/>
    <w:rsid w:val="00F21E3C"/>
    <w:rsid w:val="00F25C10"/>
    <w:rsid w:val="00F25DB9"/>
    <w:rsid w:val="00F264C4"/>
    <w:rsid w:val="00F2699B"/>
    <w:rsid w:val="00F304AF"/>
    <w:rsid w:val="00F30906"/>
    <w:rsid w:val="00F32423"/>
    <w:rsid w:val="00F34324"/>
    <w:rsid w:val="00F34F03"/>
    <w:rsid w:val="00F36094"/>
    <w:rsid w:val="00F4017C"/>
    <w:rsid w:val="00F46A7F"/>
    <w:rsid w:val="00F508CA"/>
    <w:rsid w:val="00F514D2"/>
    <w:rsid w:val="00F526F9"/>
    <w:rsid w:val="00F56EFE"/>
    <w:rsid w:val="00F60EE7"/>
    <w:rsid w:val="00F61D33"/>
    <w:rsid w:val="00F63761"/>
    <w:rsid w:val="00F66858"/>
    <w:rsid w:val="00F70944"/>
    <w:rsid w:val="00F70CCF"/>
    <w:rsid w:val="00F70D08"/>
    <w:rsid w:val="00F72C9C"/>
    <w:rsid w:val="00F74653"/>
    <w:rsid w:val="00F77952"/>
    <w:rsid w:val="00F77E99"/>
    <w:rsid w:val="00F8391B"/>
    <w:rsid w:val="00F87FF3"/>
    <w:rsid w:val="00F91F1C"/>
    <w:rsid w:val="00F931A4"/>
    <w:rsid w:val="00F9452A"/>
    <w:rsid w:val="00F95881"/>
    <w:rsid w:val="00F97C18"/>
    <w:rsid w:val="00FA0ACC"/>
    <w:rsid w:val="00FA154F"/>
    <w:rsid w:val="00FA365C"/>
    <w:rsid w:val="00FA5A7B"/>
    <w:rsid w:val="00FB0B5F"/>
    <w:rsid w:val="00FB3B06"/>
    <w:rsid w:val="00FB5F83"/>
    <w:rsid w:val="00FC0BE8"/>
    <w:rsid w:val="00FC33FF"/>
    <w:rsid w:val="00FC40BD"/>
    <w:rsid w:val="00FC4F38"/>
    <w:rsid w:val="00FC677E"/>
    <w:rsid w:val="00FD01F0"/>
    <w:rsid w:val="00FD4074"/>
    <w:rsid w:val="00FD5890"/>
    <w:rsid w:val="00FD5DE0"/>
    <w:rsid w:val="00FD790E"/>
    <w:rsid w:val="00FE2263"/>
    <w:rsid w:val="00FE24E4"/>
    <w:rsid w:val="00FE356C"/>
    <w:rsid w:val="00FE5A43"/>
    <w:rsid w:val="00FF095D"/>
    <w:rsid w:val="00FF0D86"/>
    <w:rsid w:val="00FF264E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C4DFFA1-ADE6-4AF7-8DB0-D791EDC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7E6F6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E6F6A"/>
    <w:rPr>
      <w:rFonts w:ascii="Arial" w:hAnsi="Arial" w:cs="Arial"/>
      <w:color w:val="auto"/>
      <w:sz w:val="20"/>
    </w:rPr>
  </w:style>
  <w:style w:type="paragraph" w:styleId="Title">
    <w:name w:val="Title"/>
    <w:basedOn w:val="Normal"/>
    <w:qFormat/>
    <w:rsid w:val="007E6F6A"/>
    <w:pPr>
      <w:jc w:val="center"/>
    </w:pPr>
    <w:rPr>
      <w:b/>
    </w:rPr>
  </w:style>
  <w:style w:type="paragraph" w:styleId="FootnoteText">
    <w:name w:val="footnote text"/>
    <w:basedOn w:val="Normal"/>
    <w:semiHidden/>
    <w:rsid w:val="007E6F6A"/>
    <w:rPr>
      <w:sz w:val="20"/>
    </w:rPr>
  </w:style>
  <w:style w:type="character" w:styleId="FootnoteReference">
    <w:name w:val="footnote reference"/>
    <w:basedOn w:val="DefaultParagraphFont"/>
    <w:semiHidden/>
    <w:rsid w:val="007E6F6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E6F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6F6A"/>
  </w:style>
  <w:style w:type="paragraph" w:styleId="Header">
    <w:name w:val="header"/>
    <w:basedOn w:val="Normal"/>
    <w:link w:val="HeaderChar"/>
    <w:uiPriority w:val="99"/>
    <w:rsid w:val="007E6F6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E6F6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D54C8"/>
    <w:pPr>
      <w:jc w:val="both"/>
    </w:pPr>
    <w:rPr>
      <w:lang w:eastAsia="en-US"/>
    </w:rPr>
  </w:style>
  <w:style w:type="paragraph" w:styleId="BodyText2">
    <w:name w:val="Body Text 2"/>
    <w:basedOn w:val="Normal"/>
    <w:rsid w:val="007D54C8"/>
    <w:pPr>
      <w:jc w:val="both"/>
    </w:pPr>
    <w:rPr>
      <w:color w:val="0000FF"/>
      <w:lang w:eastAsia="en-US"/>
    </w:rPr>
  </w:style>
  <w:style w:type="table" w:styleId="TableGrid">
    <w:name w:val="Table Grid"/>
    <w:basedOn w:val="TableNormal"/>
    <w:rsid w:val="00A0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3E9"/>
    <w:pPr>
      <w:ind w:left="720"/>
      <w:contextualSpacing/>
    </w:pPr>
  </w:style>
  <w:style w:type="character" w:styleId="Strong">
    <w:name w:val="Strong"/>
    <w:basedOn w:val="DefaultParagraphFont"/>
    <w:qFormat/>
    <w:rsid w:val="00B472F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021B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21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iller\2022\Grafik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iller\2022\Grafik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iller\2022\Grafik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iller\2022\Grafik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Şube Başına Kişi Sayısı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Sheet1!$A$6:$A$10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Sheet1!$B$6:$B$10</c:f>
              <c:numCache>
                <c:formatCode>#,##0</c:formatCode>
                <c:ptCount val="5"/>
                <c:pt idx="0">
                  <c:v>7897.1380970724158</c:v>
                </c:pt>
                <c:pt idx="1">
                  <c:v>8210.4064968404455</c:v>
                </c:pt>
                <c:pt idx="2">
                  <c:v>8473.2835427644932</c:v>
                </c:pt>
                <c:pt idx="3">
                  <c:v>8711.0660425882106</c:v>
                </c:pt>
                <c:pt idx="4">
                  <c:v>8893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7-47F4-B15C-EAF7531B3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281920"/>
        <c:axId val="475283008"/>
      </c:barChart>
      <c:catAx>
        <c:axId val="47528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75283008"/>
        <c:crosses val="autoZero"/>
        <c:auto val="1"/>
        <c:lblAlgn val="ctr"/>
        <c:lblOffset val="100"/>
        <c:noMultiLvlLbl val="0"/>
      </c:catAx>
      <c:valAx>
        <c:axId val="47528300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7528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629308987879741E-2"/>
          <c:y val="2.9218407596785977E-2"/>
          <c:w val="0.92444514402644407"/>
          <c:h val="0.810226442658875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Kişi Başına Mevduat (TL)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Sheet1!$A$6:$A$10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Sheet1!$E$6:$E$10</c:f>
              <c:numCache>
                <c:formatCode>#,##0</c:formatCode>
                <c:ptCount val="5"/>
                <c:pt idx="0">
                  <c:v>23992.2522570334</c:v>
                </c:pt>
                <c:pt idx="1">
                  <c:v>29031.802038086771</c:v>
                </c:pt>
                <c:pt idx="2">
                  <c:v>38848.801625548491</c:v>
                </c:pt>
                <c:pt idx="3">
                  <c:v>58121.837662940692</c:v>
                </c:pt>
                <c:pt idx="4">
                  <c:v>97474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8-4E95-9F51-7447708BE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288992"/>
        <c:axId val="475285184"/>
      </c:barChart>
      <c:catAx>
        <c:axId val="47528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75285184"/>
        <c:crosses val="autoZero"/>
        <c:auto val="1"/>
        <c:lblAlgn val="ctr"/>
        <c:lblOffset val="100"/>
        <c:noMultiLvlLbl val="0"/>
      </c:catAx>
      <c:valAx>
        <c:axId val="47528518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7528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Sheet1!$H$2</c:f>
              <c:strCache>
                <c:ptCount val="1"/>
                <c:pt idx="0">
                  <c:v>Kişi Başına Kredi (TL)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Sheet1!$A$6:$A$10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Sheet1!$H$6:$H$10</c:f>
              <c:numCache>
                <c:formatCode>#,##0</c:formatCode>
                <c:ptCount val="5"/>
                <c:pt idx="0">
                  <c:v>27037.13330339656</c:v>
                </c:pt>
                <c:pt idx="1">
                  <c:v>29283.638294155666</c:v>
                </c:pt>
                <c:pt idx="2">
                  <c:v>38820.158323956355</c:v>
                </c:pt>
                <c:pt idx="3">
                  <c:v>51918.875131274057</c:v>
                </c:pt>
                <c:pt idx="4">
                  <c:v>79760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7F-4D8E-9637-3825A7D74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286816"/>
        <c:axId val="475285728"/>
      </c:barChart>
      <c:catAx>
        <c:axId val="47528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75285728"/>
        <c:crosses val="autoZero"/>
        <c:auto val="1"/>
        <c:lblAlgn val="ctr"/>
        <c:lblOffset val="100"/>
        <c:noMultiLvlLbl val="0"/>
      </c:catAx>
      <c:valAx>
        <c:axId val="47528572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7528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B4-44C2-A3AC-8171674A451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B4-44C2-A3AC-8171674A451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B4-44C2-A3AC-8171674A451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B4-44C2-A3AC-8171674A4518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5B4-44C2-A3AC-8171674A4518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5B4-44C2-A3AC-8171674A4518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05B4-44C2-A3AC-8171674A4518}"/>
              </c:ext>
            </c:extLst>
          </c:dPt>
          <c:dLbls>
            <c:dLbl>
              <c:idx val="0"/>
              <c:layout>
                <c:manualLayout>
                  <c:x val="4.3814809405578976E-2"/>
                  <c:y val="1.85185185185185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B4-44C2-A3AC-8171674A4518}"/>
                </c:ext>
              </c:extLst>
            </c:dLbl>
            <c:dLbl>
              <c:idx val="2"/>
              <c:layout>
                <c:manualLayout>
                  <c:x val="-7.3019341731209247E-2"/>
                  <c:y val="4.44444444444444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5B4-44C2-A3AC-8171674A4518}"/>
                </c:ext>
              </c:extLst>
            </c:dLbl>
            <c:dLbl>
              <c:idx val="3"/>
              <c:layout>
                <c:manualLayout>
                  <c:x val="-0.12559463366334356"/>
                  <c:y val="8.666666666666662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5B4-44C2-A3AC-8171674A4518}"/>
                </c:ext>
              </c:extLst>
            </c:dLbl>
            <c:dLbl>
              <c:idx val="4"/>
              <c:layout>
                <c:manualLayout>
                  <c:x val="-0.11975334907293153"/>
                  <c:y val="1.48148148148148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85187489434421"/>
                      <c:h val="9.90277777777777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5B4-44C2-A3AC-8171674A4518}"/>
                </c:ext>
              </c:extLst>
            </c:dLbl>
            <c:dLbl>
              <c:idx val="5"/>
              <c:layout>
                <c:manualLayout>
                  <c:x val="2.0442771073945827E-2"/>
                  <c:y val="-1.388888888888888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5B4-44C2-A3AC-8171674A4518}"/>
                </c:ext>
              </c:extLst>
            </c:dLbl>
            <c:dLbl>
              <c:idx val="6"/>
              <c:layout>
                <c:manualLayout>
                  <c:x val="0.2073776779071011"/>
                  <c:y val="4.444444444444442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5B4-44C2-A3AC-8171674A45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Sheet2!$B$2:$H$2</c:f>
              <c:strCache>
                <c:ptCount val="7"/>
                <c:pt idx="0">
                  <c:v>DTH</c:v>
                </c:pt>
                <c:pt idx="1">
                  <c:v>Tasarruf </c:v>
                </c:pt>
                <c:pt idx="2">
                  <c:v>Ticari Kur.</c:v>
                </c:pt>
                <c:pt idx="3">
                  <c:v>Kıy. Mad. Depo Hes.</c:v>
                </c:pt>
                <c:pt idx="4">
                  <c:v>Bankalar </c:v>
                </c:pt>
                <c:pt idx="5">
                  <c:v>Diğer Kur.</c:v>
                </c:pt>
                <c:pt idx="6">
                  <c:v>Resmi Kur.</c:v>
                </c:pt>
              </c:strCache>
            </c:strRef>
          </c:cat>
          <c:val>
            <c:numRef>
              <c:f>Sheet2!$B$3:$H$3</c:f>
              <c:numCache>
                <c:formatCode>#,##0</c:formatCode>
                <c:ptCount val="7"/>
                <c:pt idx="0">
                  <c:v>3149.9389999999999</c:v>
                </c:pt>
                <c:pt idx="1">
                  <c:v>2248.9899999999998</c:v>
                </c:pt>
                <c:pt idx="2">
                  <c:v>1632.5889999999999</c:v>
                </c:pt>
                <c:pt idx="3">
                  <c:v>438.03100000000001</c:v>
                </c:pt>
                <c:pt idx="4">
                  <c:v>358.42899999999997</c:v>
                </c:pt>
                <c:pt idx="5">
                  <c:v>160.184</c:v>
                </c:pt>
                <c:pt idx="6">
                  <c:v>324.36700000000002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11-45C4-A732-EDC01CAF1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197F0C-2B66-4FB8-9D6B-0DA61975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9369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Bankacılık Sisteminin Coğrafi Dağılımı</vt:lpstr>
    </vt:vector>
  </TitlesOfParts>
  <Company>A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Bankacılık Sisteminin Coğrafi Dağılımı</dc:title>
  <dc:creator>InanE</dc:creator>
  <cp:lastModifiedBy>Aynur Küçük</cp:lastModifiedBy>
  <cp:revision>2</cp:revision>
  <cp:lastPrinted>2019-07-04T08:57:00Z</cp:lastPrinted>
  <dcterms:created xsi:type="dcterms:W3CDTF">2023-06-09T14:14:00Z</dcterms:created>
  <dcterms:modified xsi:type="dcterms:W3CDTF">2023-06-09T14:14:00Z</dcterms:modified>
</cp:coreProperties>
</file>