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E6" w:rsidRPr="00594DDC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594DDC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594DDC">
        <w:rPr>
          <w:rFonts w:ascii="Arial" w:hAnsi="Arial" w:cs="Arial"/>
          <w:b/>
          <w:sz w:val="28"/>
          <w:szCs w:val="28"/>
        </w:rPr>
        <w:t>İstatistikleri</w:t>
      </w:r>
      <w:r w:rsidR="00C961E6" w:rsidRPr="00594DDC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594DDC" w:rsidRDefault="00195044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124358" w:rsidRPr="00594DDC">
        <w:rPr>
          <w:rFonts w:ascii="Arial" w:hAnsi="Arial" w:cs="Arial"/>
          <w:bCs/>
          <w:szCs w:val="24"/>
        </w:rPr>
        <w:t xml:space="preserve"> 2017</w:t>
      </w:r>
    </w:p>
    <w:p w:rsidR="006A5465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594DDC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594DDC">
        <w:rPr>
          <w:rFonts w:ascii="Arial" w:hAnsi="Arial" w:cs="Arial"/>
          <w:sz w:val="22"/>
          <w:szCs w:val="22"/>
        </w:rPr>
        <w:t>M</w:t>
      </w:r>
      <w:r w:rsidR="00411E83" w:rsidRPr="00594DDC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594DDC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594DDC">
        <w:rPr>
          <w:rFonts w:ascii="Arial" w:hAnsi="Arial" w:cs="Arial"/>
          <w:sz w:val="22"/>
          <w:szCs w:val="22"/>
        </w:rPr>
        <w:t>ni</w:t>
      </w:r>
      <w:r w:rsidRPr="00594DDC">
        <w:rPr>
          <w:rFonts w:ascii="Arial" w:hAnsi="Arial" w:cs="Arial"/>
          <w:sz w:val="22"/>
          <w:szCs w:val="22"/>
        </w:rPr>
        <w:t xml:space="preserve"> içeren bu rapor</w:t>
      </w:r>
      <w:r w:rsidR="00B24292" w:rsidRPr="00594DDC">
        <w:rPr>
          <w:rFonts w:ascii="Arial" w:hAnsi="Arial" w:cs="Arial"/>
          <w:sz w:val="22"/>
          <w:szCs w:val="22"/>
        </w:rPr>
        <w:t xml:space="preserve"> </w:t>
      </w:r>
      <w:r w:rsidR="00411E83" w:rsidRPr="00594DDC">
        <w:rPr>
          <w:rFonts w:ascii="Arial" w:hAnsi="Arial" w:cs="Arial"/>
          <w:sz w:val="22"/>
          <w:szCs w:val="22"/>
        </w:rPr>
        <w:t xml:space="preserve">Aralık </w:t>
      </w:r>
      <w:r w:rsidR="00B24292" w:rsidRPr="00594DDC">
        <w:rPr>
          <w:rFonts w:ascii="Arial" w:hAnsi="Arial" w:cs="Arial"/>
          <w:sz w:val="22"/>
          <w:szCs w:val="22"/>
        </w:rPr>
        <w:t>20</w:t>
      </w:r>
      <w:r w:rsidR="00411E83" w:rsidRPr="00594DDC">
        <w:rPr>
          <w:rFonts w:ascii="Arial" w:hAnsi="Arial" w:cs="Arial"/>
          <w:sz w:val="22"/>
          <w:szCs w:val="22"/>
        </w:rPr>
        <w:t>14</w:t>
      </w:r>
      <w:r w:rsidRPr="00594DDC">
        <w:rPr>
          <w:rFonts w:ascii="Arial" w:hAnsi="Arial" w:cs="Arial"/>
          <w:sz w:val="22"/>
          <w:szCs w:val="22"/>
        </w:rPr>
        <w:t xml:space="preserve"> döneminde başlatılmış</w:t>
      </w:r>
      <w:r w:rsidR="00B24292" w:rsidRPr="00594DDC">
        <w:rPr>
          <w:rFonts w:ascii="Arial" w:hAnsi="Arial" w:cs="Arial"/>
          <w:sz w:val="22"/>
          <w:szCs w:val="22"/>
        </w:rPr>
        <w:t xml:space="preserve"> </w:t>
      </w:r>
      <w:r w:rsidR="00411E83" w:rsidRPr="00594DDC">
        <w:rPr>
          <w:rFonts w:ascii="Arial" w:hAnsi="Arial" w:cs="Arial"/>
          <w:sz w:val="22"/>
          <w:szCs w:val="22"/>
        </w:rPr>
        <w:t xml:space="preserve">olup altı </w:t>
      </w:r>
      <w:r w:rsidR="00B24292" w:rsidRPr="00594DDC">
        <w:rPr>
          <w:rFonts w:ascii="Arial" w:hAnsi="Arial" w:cs="Arial"/>
          <w:sz w:val="22"/>
          <w:szCs w:val="22"/>
        </w:rPr>
        <w:t>aylık dönemler</w:t>
      </w:r>
      <w:r w:rsidRPr="00594DDC">
        <w:rPr>
          <w:rFonts w:ascii="Arial" w:hAnsi="Arial" w:cs="Arial"/>
          <w:sz w:val="22"/>
          <w:szCs w:val="22"/>
        </w:rPr>
        <w:t>de hazırlanmaktadır.</w:t>
      </w:r>
      <w:r w:rsidR="00B24292" w:rsidRPr="00594DDC">
        <w:rPr>
          <w:rFonts w:ascii="Arial" w:hAnsi="Arial" w:cs="Arial"/>
          <w:sz w:val="22"/>
          <w:szCs w:val="22"/>
        </w:rPr>
        <w:t xml:space="preserve"> </w:t>
      </w:r>
      <w:r w:rsidR="0007088A">
        <w:rPr>
          <w:rFonts w:ascii="Arial" w:hAnsi="Arial" w:cs="Arial"/>
          <w:sz w:val="22"/>
          <w:szCs w:val="22"/>
        </w:rPr>
        <w:t xml:space="preserve">Bu raporda yer alan toplulaştırılmış bilgi </w:t>
      </w:r>
      <w:r w:rsidR="00195044">
        <w:rPr>
          <w:rFonts w:ascii="Arial" w:hAnsi="Arial" w:cs="Arial"/>
          <w:sz w:val="22"/>
          <w:szCs w:val="22"/>
        </w:rPr>
        <w:t>Aralık</w:t>
      </w:r>
      <w:r w:rsidR="004F78DC" w:rsidRPr="00594DDC">
        <w:rPr>
          <w:rFonts w:ascii="Arial" w:hAnsi="Arial" w:cs="Arial"/>
          <w:sz w:val="22"/>
          <w:szCs w:val="22"/>
        </w:rPr>
        <w:t xml:space="preserve"> 2017</w:t>
      </w:r>
      <w:r w:rsidR="00BC52A5" w:rsidRPr="00594DDC">
        <w:rPr>
          <w:rFonts w:ascii="Arial" w:hAnsi="Arial" w:cs="Arial"/>
          <w:sz w:val="22"/>
          <w:szCs w:val="22"/>
        </w:rPr>
        <w:t xml:space="preserve"> dönemi itibariyle </w:t>
      </w:r>
      <w:r w:rsidR="00971357" w:rsidRPr="00594DDC">
        <w:rPr>
          <w:rFonts w:ascii="Arial" w:hAnsi="Arial" w:cs="Arial"/>
          <w:sz w:val="22"/>
          <w:szCs w:val="22"/>
        </w:rPr>
        <w:t>2</w:t>
      </w:r>
      <w:r w:rsidR="004F78DC" w:rsidRPr="00594DDC">
        <w:rPr>
          <w:rFonts w:ascii="Arial" w:hAnsi="Arial" w:cs="Arial"/>
          <w:sz w:val="22"/>
          <w:szCs w:val="22"/>
        </w:rPr>
        <w:t>0</w:t>
      </w:r>
      <w:r w:rsidR="00971357" w:rsidRPr="00594DDC">
        <w:rPr>
          <w:rFonts w:ascii="Arial" w:hAnsi="Arial" w:cs="Arial"/>
          <w:sz w:val="22"/>
          <w:szCs w:val="22"/>
        </w:rPr>
        <w:t xml:space="preserve"> banka verisinden oluşmaktadır.</w:t>
      </w:r>
    </w:p>
    <w:p w:rsidR="0007088A" w:rsidRPr="00594DDC" w:rsidRDefault="0007088A" w:rsidP="00971357">
      <w:pPr>
        <w:jc w:val="both"/>
        <w:rPr>
          <w:rFonts w:ascii="Arial" w:hAnsi="Arial" w:cs="Arial"/>
          <w:sz w:val="22"/>
          <w:szCs w:val="22"/>
        </w:rPr>
      </w:pPr>
    </w:p>
    <w:p w:rsidR="00214918" w:rsidRPr="00AA2910" w:rsidRDefault="00214918" w:rsidP="00AA2910">
      <w:pPr>
        <w:jc w:val="center"/>
        <w:rPr>
          <w:rFonts w:ascii="Arial" w:hAnsi="Arial" w:cs="Arial"/>
          <w:b/>
          <w:sz w:val="10"/>
          <w:szCs w:val="10"/>
        </w:rPr>
      </w:pPr>
    </w:p>
    <w:p w:rsidR="00AA2910" w:rsidRDefault="00AA2910" w:rsidP="00AA2910">
      <w:pPr>
        <w:jc w:val="center"/>
        <w:rPr>
          <w:rFonts w:ascii="Arial" w:hAnsi="Arial" w:cs="Arial"/>
          <w:b/>
          <w:sz w:val="22"/>
          <w:szCs w:val="22"/>
        </w:rPr>
      </w:pPr>
      <w:r w:rsidRPr="00AA2910">
        <w:rPr>
          <w:rFonts w:ascii="Arial" w:hAnsi="Arial" w:cs="Arial"/>
          <w:b/>
          <w:sz w:val="22"/>
          <w:szCs w:val="22"/>
        </w:rPr>
        <w:t xml:space="preserve">Toplam Risk Bakiyesi </w:t>
      </w:r>
    </w:p>
    <w:p w:rsidR="00AA2910" w:rsidRPr="00AA2910" w:rsidRDefault="00AA2910" w:rsidP="00AA2910">
      <w:pPr>
        <w:jc w:val="center"/>
        <w:rPr>
          <w:rFonts w:ascii="Arial" w:hAnsi="Arial" w:cs="Arial"/>
          <w:b/>
          <w:sz w:val="22"/>
          <w:szCs w:val="22"/>
        </w:rPr>
      </w:pPr>
    </w:p>
    <w:p w:rsidR="00AA2910" w:rsidRPr="000A457F" w:rsidRDefault="00AA2910" w:rsidP="00AA2910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ACC29C5" wp14:editId="062AEB09">
            <wp:extent cx="4319905" cy="2324100"/>
            <wp:effectExtent l="0" t="0" r="444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2910" w:rsidRPr="00AA2910" w:rsidRDefault="00AA2910" w:rsidP="00971357">
      <w:pPr>
        <w:jc w:val="both"/>
        <w:rPr>
          <w:rFonts w:ascii="Arial" w:hAnsi="Arial" w:cs="Arial"/>
          <w:sz w:val="22"/>
          <w:szCs w:val="22"/>
        </w:rPr>
      </w:pPr>
    </w:p>
    <w:p w:rsidR="00CA40A8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0A457F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0A457F" w:rsidRPr="000A457F">
        <w:rPr>
          <w:rFonts w:ascii="Arial" w:hAnsi="Arial" w:cs="Arial"/>
          <w:sz w:val="22"/>
          <w:szCs w:val="22"/>
        </w:rPr>
        <w:t>Aralık</w:t>
      </w:r>
      <w:r w:rsidRPr="000A457F">
        <w:rPr>
          <w:rFonts w:ascii="Arial" w:hAnsi="Arial" w:cs="Arial"/>
          <w:sz w:val="22"/>
          <w:szCs w:val="22"/>
        </w:rPr>
        <w:t xml:space="preserve"> 201</w:t>
      </w:r>
      <w:r w:rsidR="00D819B7" w:rsidRPr="000A457F">
        <w:rPr>
          <w:rFonts w:ascii="Arial" w:hAnsi="Arial" w:cs="Arial"/>
          <w:sz w:val="22"/>
          <w:szCs w:val="22"/>
        </w:rPr>
        <w:t>7</w:t>
      </w:r>
      <w:r w:rsidRPr="000A457F">
        <w:rPr>
          <w:rFonts w:ascii="Arial" w:hAnsi="Arial" w:cs="Arial"/>
          <w:sz w:val="22"/>
          <w:szCs w:val="22"/>
        </w:rPr>
        <w:t xml:space="preserve"> dönemi itibariyle bir önceki y</w:t>
      </w:r>
      <w:r w:rsidR="00D819B7" w:rsidRPr="000A457F">
        <w:rPr>
          <w:rFonts w:ascii="Arial" w:hAnsi="Arial" w:cs="Arial"/>
          <w:sz w:val="22"/>
          <w:szCs w:val="22"/>
        </w:rPr>
        <w:t xml:space="preserve">ılın aynı dönemine göre yüzde </w:t>
      </w:r>
      <w:r w:rsidR="0007088A">
        <w:rPr>
          <w:rFonts w:ascii="Arial" w:hAnsi="Arial" w:cs="Arial"/>
          <w:sz w:val="22"/>
          <w:szCs w:val="22"/>
        </w:rPr>
        <w:t>23 artarak</w:t>
      </w:r>
      <w:r w:rsidR="000A457F" w:rsidRPr="000A457F">
        <w:rPr>
          <w:rFonts w:ascii="Arial" w:hAnsi="Arial" w:cs="Arial"/>
          <w:sz w:val="22"/>
          <w:szCs w:val="22"/>
        </w:rPr>
        <w:t xml:space="preserve"> 334</w:t>
      </w:r>
      <w:r w:rsidRPr="000A457F">
        <w:rPr>
          <w:rFonts w:ascii="Arial" w:hAnsi="Arial" w:cs="Arial"/>
          <w:sz w:val="22"/>
          <w:szCs w:val="22"/>
        </w:rPr>
        <w:t xml:space="preserve"> milyar TL’ye yükselmiştir. Risk bakiyesinin 2</w:t>
      </w:r>
      <w:r w:rsidR="000A457F" w:rsidRPr="000A457F">
        <w:rPr>
          <w:rFonts w:ascii="Arial" w:hAnsi="Arial" w:cs="Arial"/>
          <w:sz w:val="22"/>
          <w:szCs w:val="22"/>
        </w:rPr>
        <w:t>97</w:t>
      </w:r>
      <w:r w:rsidRPr="000A457F">
        <w:rPr>
          <w:rFonts w:ascii="Arial" w:hAnsi="Arial" w:cs="Arial"/>
          <w:sz w:val="22"/>
          <w:szCs w:val="22"/>
        </w:rPr>
        <w:t xml:space="preserve"> milyar TL’si nakdi, </w:t>
      </w:r>
      <w:r w:rsidR="000A457F" w:rsidRPr="000A457F">
        <w:rPr>
          <w:rFonts w:ascii="Arial" w:hAnsi="Arial" w:cs="Arial"/>
          <w:sz w:val="22"/>
          <w:szCs w:val="22"/>
        </w:rPr>
        <w:t>37</w:t>
      </w:r>
      <w:r w:rsidRPr="000A457F">
        <w:rPr>
          <w:rFonts w:ascii="Arial" w:hAnsi="Arial" w:cs="Arial"/>
          <w:sz w:val="22"/>
          <w:szCs w:val="22"/>
        </w:rPr>
        <w:t xml:space="preserve"> milyar TL’si gayrinakdi kredi şeklinde kullandırılmıştır.</w:t>
      </w:r>
    </w:p>
    <w:p w:rsidR="0007088A" w:rsidRPr="000A457F" w:rsidRDefault="0007088A" w:rsidP="00971357">
      <w:pPr>
        <w:jc w:val="both"/>
        <w:rPr>
          <w:rFonts w:ascii="Arial" w:hAnsi="Arial" w:cs="Arial"/>
          <w:sz w:val="22"/>
          <w:szCs w:val="22"/>
        </w:rPr>
      </w:pPr>
    </w:p>
    <w:p w:rsidR="00195044" w:rsidRPr="00AA2910" w:rsidRDefault="00195044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A457F" w:rsidRPr="000A457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0A457F">
        <w:rPr>
          <w:rFonts w:ascii="Arial" w:hAnsi="Arial" w:cs="Arial"/>
          <w:b/>
          <w:sz w:val="22"/>
          <w:szCs w:val="22"/>
        </w:rPr>
        <w:t>Proje Finansmanı Sektörel Dağılım (milyar TL, yüzde)</w:t>
      </w:r>
    </w:p>
    <w:p w:rsidR="00CA40A8" w:rsidRPr="000A457F" w:rsidRDefault="00CA40A8" w:rsidP="00971357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0A457F" w:rsidRPr="000A457F" w:rsidTr="00925F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CA40A8" w:rsidP="00CE0B16">
            <w:pPr>
              <w:rPr>
                <w:rFonts w:ascii="Arial" w:hAnsi="Arial" w:cs="Arial"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A40A8" w:rsidRPr="000A457F" w:rsidRDefault="00CA40A8" w:rsidP="00CE0B1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195044" w:rsidP="00CE0B1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0A457F" w:rsidP="000A457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0A457F" w:rsidP="000A457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P</w:t>
            </w:r>
            <w:r w:rsidR="00CA40A8" w:rsidRPr="000A457F">
              <w:rPr>
                <w:rFonts w:ascii="Arial" w:hAnsi="Arial" w:cs="Arial"/>
                <w:b/>
                <w:bCs/>
                <w:sz w:val="20"/>
              </w:rPr>
              <w:t>ay</w:t>
            </w:r>
          </w:p>
        </w:tc>
      </w:tr>
      <w:tr w:rsidR="000A457F" w:rsidRPr="000A457F" w:rsidTr="00925F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CA40A8" w:rsidP="00CE0B16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b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A40A8" w:rsidRPr="000A457F" w:rsidRDefault="007C6100" w:rsidP="00CE0B1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CA40A8" w:rsidP="00CE0B1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7C6100" w:rsidRPr="000A457F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0A457F" w:rsidP="000A457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Yüzde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0A457F" w:rsidRDefault="000A457F" w:rsidP="000A457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A457F">
              <w:rPr>
                <w:rFonts w:ascii="Arial" w:hAnsi="Arial" w:cs="Arial"/>
                <w:b/>
                <w:bCs/>
                <w:sz w:val="20"/>
              </w:rPr>
              <w:t>Aralık 2017</w:t>
            </w:r>
          </w:p>
        </w:tc>
      </w:tr>
      <w:tr w:rsidR="000A457F" w:rsidRPr="000A457F" w:rsidTr="00925F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7F" w:rsidRPr="000A457F" w:rsidRDefault="000A457F" w:rsidP="000A457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100</w:t>
            </w:r>
          </w:p>
        </w:tc>
      </w:tr>
      <w:tr w:rsidR="000A457F" w:rsidRPr="000A457F" w:rsidTr="00925F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89</w:t>
            </w:r>
          </w:p>
        </w:tc>
      </w:tr>
      <w:tr w:rsidR="000A457F" w:rsidRPr="000A457F" w:rsidTr="00925F34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7F" w:rsidRPr="000A457F" w:rsidRDefault="000A457F" w:rsidP="000A457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11</w:t>
            </w:r>
          </w:p>
        </w:tc>
      </w:tr>
      <w:tr w:rsidR="000A457F" w:rsidRPr="000A457F" w:rsidTr="00925F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457F" w:rsidRPr="000A457F" w:rsidRDefault="000A457F" w:rsidP="000A457F">
            <w:pPr>
              <w:ind w:right="-70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A457F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457F" w:rsidRPr="000A457F" w:rsidRDefault="000A457F" w:rsidP="000A457F">
            <w:pPr>
              <w:jc w:val="right"/>
              <w:rPr>
                <w:rFonts w:ascii="Arial" w:hAnsi="Arial" w:cs="Arial"/>
                <w:sz w:val="20"/>
              </w:rPr>
            </w:pPr>
            <w:r w:rsidRPr="000A457F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07088A" w:rsidRDefault="0007088A" w:rsidP="00450745">
      <w:pPr>
        <w:jc w:val="both"/>
        <w:rPr>
          <w:rFonts w:ascii="Arial" w:hAnsi="Arial" w:cs="Arial"/>
          <w:sz w:val="22"/>
          <w:szCs w:val="22"/>
        </w:rPr>
      </w:pPr>
    </w:p>
    <w:p w:rsidR="00450745" w:rsidRPr="000A457F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0A457F">
        <w:rPr>
          <w:rFonts w:ascii="Arial" w:hAnsi="Arial" w:cs="Arial"/>
          <w:sz w:val="22"/>
          <w:szCs w:val="22"/>
        </w:rPr>
        <w:t>T</w:t>
      </w:r>
      <w:r w:rsidR="00450745" w:rsidRPr="000A457F">
        <w:rPr>
          <w:rFonts w:ascii="Arial" w:hAnsi="Arial" w:cs="Arial"/>
          <w:sz w:val="22"/>
          <w:szCs w:val="22"/>
        </w:rPr>
        <w:t xml:space="preserve">oplam taahhüt miktarı </w:t>
      </w:r>
      <w:r w:rsidR="000A457F" w:rsidRPr="000A457F">
        <w:rPr>
          <w:rFonts w:ascii="Arial" w:hAnsi="Arial" w:cs="Arial"/>
          <w:sz w:val="22"/>
          <w:szCs w:val="22"/>
        </w:rPr>
        <w:t xml:space="preserve">371 </w:t>
      </w:r>
      <w:r w:rsidR="00450745" w:rsidRPr="000A457F">
        <w:rPr>
          <w:rFonts w:ascii="Arial" w:hAnsi="Arial" w:cs="Arial"/>
          <w:sz w:val="22"/>
          <w:szCs w:val="22"/>
        </w:rPr>
        <w:t>milyar TL’den (</w:t>
      </w:r>
      <w:r w:rsidR="00D819B7" w:rsidRPr="000A457F">
        <w:rPr>
          <w:rFonts w:ascii="Arial" w:hAnsi="Arial" w:cs="Arial"/>
          <w:sz w:val="22"/>
          <w:szCs w:val="22"/>
        </w:rPr>
        <w:t>106</w:t>
      </w:r>
      <w:r w:rsidR="00A373FA">
        <w:rPr>
          <w:rFonts w:ascii="Arial" w:hAnsi="Arial" w:cs="Arial"/>
          <w:sz w:val="22"/>
          <w:szCs w:val="22"/>
        </w:rPr>
        <w:t xml:space="preserve"> milyar dolar</w:t>
      </w:r>
      <w:r w:rsidR="00450745" w:rsidRPr="000A457F">
        <w:rPr>
          <w:rFonts w:ascii="Arial" w:hAnsi="Arial" w:cs="Arial"/>
          <w:sz w:val="22"/>
          <w:szCs w:val="22"/>
        </w:rPr>
        <w:t xml:space="preserve">) </w:t>
      </w:r>
      <w:r w:rsidR="000A457F" w:rsidRPr="000A457F">
        <w:rPr>
          <w:rFonts w:ascii="Arial" w:hAnsi="Arial" w:cs="Arial"/>
          <w:sz w:val="22"/>
          <w:szCs w:val="22"/>
        </w:rPr>
        <w:t>435</w:t>
      </w:r>
      <w:r w:rsidR="00450745" w:rsidRPr="000A457F">
        <w:rPr>
          <w:rFonts w:ascii="Arial" w:hAnsi="Arial" w:cs="Arial"/>
          <w:sz w:val="22"/>
          <w:szCs w:val="22"/>
        </w:rPr>
        <w:t xml:space="preserve"> milyar TL’ye (</w:t>
      </w:r>
      <w:r w:rsidR="005A5872" w:rsidRPr="000A457F">
        <w:rPr>
          <w:rFonts w:ascii="Arial" w:hAnsi="Arial" w:cs="Arial"/>
          <w:sz w:val="22"/>
          <w:szCs w:val="22"/>
        </w:rPr>
        <w:t>1</w:t>
      </w:r>
      <w:r w:rsidR="000A457F" w:rsidRPr="000A457F">
        <w:rPr>
          <w:rFonts w:ascii="Arial" w:hAnsi="Arial" w:cs="Arial"/>
          <w:sz w:val="22"/>
          <w:szCs w:val="22"/>
        </w:rPr>
        <w:t>15</w:t>
      </w:r>
      <w:r w:rsidR="00A373FA">
        <w:rPr>
          <w:rFonts w:ascii="Arial" w:hAnsi="Arial" w:cs="Arial"/>
          <w:sz w:val="22"/>
          <w:szCs w:val="22"/>
        </w:rPr>
        <w:t xml:space="preserve"> milyar dolar</w:t>
      </w:r>
      <w:r w:rsidR="00450745" w:rsidRPr="000A457F">
        <w:rPr>
          <w:rFonts w:ascii="Arial" w:hAnsi="Arial" w:cs="Arial"/>
          <w:sz w:val="22"/>
          <w:szCs w:val="22"/>
        </w:rPr>
        <w:t xml:space="preserve">) yükselmiştir. </w:t>
      </w:r>
      <w:r w:rsidR="00B6756C" w:rsidRPr="000A457F">
        <w:rPr>
          <w:rFonts w:ascii="Arial" w:hAnsi="Arial" w:cs="Arial"/>
          <w:sz w:val="22"/>
          <w:szCs w:val="22"/>
        </w:rPr>
        <w:t>Söz konusu tutar</w:t>
      </w:r>
      <w:r w:rsidR="003B3CD4" w:rsidRPr="000A457F">
        <w:rPr>
          <w:rFonts w:ascii="Arial" w:hAnsi="Arial" w:cs="Arial"/>
          <w:sz w:val="22"/>
          <w:szCs w:val="22"/>
        </w:rPr>
        <w:t xml:space="preserve"> dolar bazında yüzde </w:t>
      </w:r>
      <w:r w:rsidR="000A457F" w:rsidRPr="000A457F">
        <w:rPr>
          <w:rFonts w:ascii="Arial" w:hAnsi="Arial" w:cs="Arial"/>
          <w:sz w:val="22"/>
          <w:szCs w:val="22"/>
        </w:rPr>
        <w:t>9</w:t>
      </w:r>
      <w:r w:rsidR="003B3CD4" w:rsidRPr="000A457F">
        <w:rPr>
          <w:rFonts w:ascii="Arial" w:hAnsi="Arial" w:cs="Arial"/>
          <w:sz w:val="22"/>
          <w:szCs w:val="22"/>
        </w:rPr>
        <w:t xml:space="preserve"> art</w:t>
      </w:r>
      <w:r w:rsidR="00B6756C" w:rsidRPr="000A457F">
        <w:rPr>
          <w:rFonts w:ascii="Arial" w:hAnsi="Arial" w:cs="Arial"/>
          <w:sz w:val="22"/>
          <w:szCs w:val="22"/>
        </w:rPr>
        <w:t>mıştır.</w:t>
      </w:r>
    </w:p>
    <w:p w:rsidR="000A457F" w:rsidRDefault="000A457F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0A457F" w:rsidRPr="000A457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0A457F">
        <w:rPr>
          <w:rFonts w:ascii="Arial" w:hAnsi="Arial" w:cs="Arial"/>
          <w:b/>
          <w:sz w:val="22"/>
          <w:szCs w:val="22"/>
        </w:rPr>
        <w:t>Proje Finansmanı Sektörel Dağılım (milyar TL, yüzde)</w:t>
      </w:r>
    </w:p>
    <w:p w:rsidR="00CF19C8" w:rsidRDefault="00CF19C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F19C8" w:rsidRDefault="000A457F" w:rsidP="000A457F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2F989D3" wp14:editId="2E02FB99">
            <wp:extent cx="37338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AA2910" w:rsidRDefault="00214918" w:rsidP="00450745">
      <w:pPr>
        <w:jc w:val="both"/>
        <w:rPr>
          <w:rFonts w:ascii="Arial" w:hAnsi="Arial" w:cs="Arial"/>
          <w:sz w:val="22"/>
          <w:szCs w:val="22"/>
        </w:rPr>
      </w:pPr>
    </w:p>
    <w:p w:rsidR="00925F34" w:rsidRDefault="00925F34" w:rsidP="00450745">
      <w:pPr>
        <w:jc w:val="both"/>
        <w:rPr>
          <w:rFonts w:ascii="Arial" w:hAnsi="Arial" w:cs="Arial"/>
          <w:sz w:val="22"/>
          <w:szCs w:val="22"/>
        </w:rPr>
      </w:pPr>
    </w:p>
    <w:p w:rsidR="009017A9" w:rsidRPr="00AA2910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AA2910">
        <w:rPr>
          <w:rFonts w:ascii="Arial" w:hAnsi="Arial" w:cs="Arial"/>
          <w:sz w:val="22"/>
          <w:szCs w:val="22"/>
        </w:rPr>
        <w:t>P</w:t>
      </w:r>
      <w:r w:rsidR="00A20CEE" w:rsidRPr="00AA2910">
        <w:rPr>
          <w:rFonts w:ascii="Arial" w:hAnsi="Arial" w:cs="Arial"/>
          <w:sz w:val="22"/>
          <w:szCs w:val="22"/>
        </w:rPr>
        <w:t>roje finansmanı amacıyla k</w:t>
      </w:r>
      <w:r w:rsidR="00B40E7E" w:rsidRPr="00AA2910">
        <w:rPr>
          <w:rFonts w:ascii="Arial" w:hAnsi="Arial" w:cs="Arial"/>
          <w:sz w:val="22"/>
          <w:szCs w:val="22"/>
        </w:rPr>
        <w:t>ullandırılan kredilerin yüzde 4</w:t>
      </w:r>
      <w:r w:rsidR="00AA2910" w:rsidRPr="00AA2910">
        <w:rPr>
          <w:rFonts w:ascii="Arial" w:hAnsi="Arial" w:cs="Arial"/>
          <w:sz w:val="22"/>
          <w:szCs w:val="22"/>
        </w:rPr>
        <w:t>7</w:t>
      </w:r>
      <w:r w:rsidR="00B40E7E" w:rsidRPr="00AA2910">
        <w:rPr>
          <w:rFonts w:ascii="Arial" w:hAnsi="Arial" w:cs="Arial"/>
          <w:sz w:val="22"/>
          <w:szCs w:val="22"/>
        </w:rPr>
        <w:t>’</w:t>
      </w:r>
      <w:r w:rsidR="00AA2910" w:rsidRPr="00AA2910">
        <w:rPr>
          <w:rFonts w:ascii="Arial" w:hAnsi="Arial" w:cs="Arial"/>
          <w:sz w:val="22"/>
          <w:szCs w:val="22"/>
        </w:rPr>
        <w:t>si enerji, yüzde 19’u altyapı, yüzde 11’</w:t>
      </w:r>
      <w:r w:rsidR="00A20CEE" w:rsidRPr="00AA2910">
        <w:rPr>
          <w:rFonts w:ascii="Arial" w:hAnsi="Arial" w:cs="Arial"/>
          <w:sz w:val="22"/>
          <w:szCs w:val="22"/>
        </w:rPr>
        <w:t>i gayrimenkul sektörüne aittir. Diğer sektörler</w:t>
      </w:r>
      <w:r w:rsidR="00AA2910" w:rsidRPr="00AA2910">
        <w:rPr>
          <w:rFonts w:ascii="Arial" w:hAnsi="Arial" w:cs="Arial"/>
          <w:sz w:val="22"/>
          <w:szCs w:val="22"/>
        </w:rPr>
        <w:t>in toplam içindeki payı yüzde 23’dü</w:t>
      </w:r>
      <w:r w:rsidR="00A20CEE" w:rsidRPr="00AA2910">
        <w:rPr>
          <w:rFonts w:ascii="Arial" w:hAnsi="Arial" w:cs="Arial"/>
          <w:sz w:val="22"/>
          <w:szCs w:val="22"/>
        </w:rPr>
        <w:t>r.</w:t>
      </w:r>
    </w:p>
    <w:p w:rsidR="009B4F92" w:rsidRDefault="009B4F92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A457F" w:rsidRDefault="00925F34" w:rsidP="00AA2910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A457F" w:rsidRPr="000A457F">
        <w:rPr>
          <w:rFonts w:ascii="Arial" w:hAnsi="Arial" w:cs="Arial"/>
          <w:b/>
          <w:sz w:val="22"/>
          <w:szCs w:val="22"/>
        </w:rPr>
        <w:t xml:space="preserve">roje Finansmanı Sektörel Dağılım (milyar </w:t>
      </w:r>
      <w:r>
        <w:rPr>
          <w:rFonts w:ascii="Arial" w:hAnsi="Arial" w:cs="Arial"/>
          <w:b/>
          <w:sz w:val="22"/>
          <w:szCs w:val="22"/>
        </w:rPr>
        <w:t>dolar</w:t>
      </w:r>
      <w:r w:rsidR="000A457F" w:rsidRPr="000A457F">
        <w:rPr>
          <w:rFonts w:ascii="Arial" w:hAnsi="Arial" w:cs="Arial"/>
          <w:b/>
          <w:sz w:val="22"/>
          <w:szCs w:val="22"/>
        </w:rPr>
        <w:t>, yüzde</w:t>
      </w:r>
      <w:r w:rsidR="000A457F">
        <w:rPr>
          <w:rFonts w:ascii="Arial" w:hAnsi="Arial" w:cs="Arial"/>
          <w:b/>
          <w:sz w:val="22"/>
          <w:szCs w:val="22"/>
        </w:rPr>
        <w:t>)</w:t>
      </w:r>
    </w:p>
    <w:p w:rsidR="000A457F" w:rsidRPr="00195044" w:rsidRDefault="000A457F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925F34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2910">
              <w:rPr>
                <w:rFonts w:ascii="Arial" w:hAnsi="Arial" w:cs="Arial"/>
                <w:b/>
                <w:bCs/>
                <w:sz w:val="20"/>
              </w:rPr>
              <w:t>Yüzde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15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11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36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3</w:t>
            </w:r>
          </w:p>
        </w:tc>
      </w:tr>
      <w:tr w:rsidR="00AA2910" w:rsidRPr="00AA2910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AA2910" w:rsidRDefault="00AA2910" w:rsidP="00AA29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A2910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A2910" w:rsidRPr="00AA2910" w:rsidRDefault="00AA2910" w:rsidP="00AA2910">
            <w:pPr>
              <w:jc w:val="right"/>
              <w:rPr>
                <w:rFonts w:ascii="Arial" w:hAnsi="Arial" w:cs="Arial"/>
                <w:sz w:val="20"/>
              </w:rPr>
            </w:pPr>
            <w:r w:rsidRPr="00AA2910">
              <w:rPr>
                <w:rFonts w:ascii="Arial" w:hAnsi="Arial" w:cs="Arial"/>
                <w:sz w:val="20"/>
              </w:rPr>
              <w:t>14</w:t>
            </w:r>
          </w:p>
        </w:tc>
      </w:tr>
    </w:tbl>
    <w:p w:rsidR="00951BAF" w:rsidRDefault="00951BAF" w:rsidP="00E71FBA">
      <w:pPr>
        <w:pStyle w:val="BodyText"/>
        <w:rPr>
          <w:rFonts w:ascii="Arial" w:hAnsi="Arial" w:cs="Arial"/>
          <w:sz w:val="22"/>
          <w:szCs w:val="22"/>
        </w:rPr>
      </w:pPr>
    </w:p>
    <w:p w:rsidR="009017A9" w:rsidRPr="00AA2910" w:rsidRDefault="00B40E7E" w:rsidP="00E71FBA">
      <w:pPr>
        <w:pStyle w:val="BodyText"/>
        <w:rPr>
          <w:rFonts w:ascii="Arial" w:hAnsi="Arial" w:cs="Arial"/>
          <w:sz w:val="22"/>
          <w:szCs w:val="22"/>
        </w:rPr>
      </w:pPr>
      <w:r w:rsidRPr="00AA2910">
        <w:rPr>
          <w:rFonts w:ascii="Arial" w:hAnsi="Arial" w:cs="Arial"/>
          <w:sz w:val="22"/>
          <w:szCs w:val="22"/>
        </w:rPr>
        <w:t>Aralık 201</w:t>
      </w:r>
      <w:r w:rsidR="00AA2910" w:rsidRPr="00AA2910">
        <w:rPr>
          <w:rFonts w:ascii="Arial" w:hAnsi="Arial" w:cs="Arial"/>
          <w:sz w:val="22"/>
          <w:szCs w:val="22"/>
        </w:rPr>
        <w:t>6</w:t>
      </w:r>
      <w:r w:rsidRPr="00AA2910">
        <w:rPr>
          <w:rFonts w:ascii="Arial" w:hAnsi="Arial" w:cs="Arial"/>
          <w:sz w:val="22"/>
          <w:szCs w:val="22"/>
        </w:rPr>
        <w:t xml:space="preserve"> itibariyle 77</w:t>
      </w:r>
      <w:r w:rsidR="00A373FA">
        <w:rPr>
          <w:rFonts w:ascii="Arial" w:hAnsi="Arial" w:cs="Arial"/>
          <w:sz w:val="22"/>
          <w:szCs w:val="22"/>
        </w:rPr>
        <w:t xml:space="preserve"> milyar dolar</w:t>
      </w:r>
      <w:r w:rsidR="00A20CEE" w:rsidRPr="00AA2910">
        <w:rPr>
          <w:rFonts w:ascii="Arial" w:hAnsi="Arial" w:cs="Arial"/>
          <w:sz w:val="22"/>
          <w:szCs w:val="22"/>
        </w:rPr>
        <w:t xml:space="preserve"> olan proje finansmanı kredileri risk bakiyesi, </w:t>
      </w:r>
      <w:r w:rsidR="00AA2910" w:rsidRPr="00AA2910">
        <w:rPr>
          <w:rFonts w:ascii="Arial" w:hAnsi="Arial" w:cs="Arial"/>
          <w:sz w:val="22"/>
          <w:szCs w:val="22"/>
        </w:rPr>
        <w:t>Aralık</w:t>
      </w:r>
      <w:r w:rsidRPr="00AA2910">
        <w:rPr>
          <w:rFonts w:ascii="Arial" w:hAnsi="Arial" w:cs="Arial"/>
          <w:sz w:val="22"/>
          <w:szCs w:val="22"/>
        </w:rPr>
        <w:t xml:space="preserve"> 2017 dönemi itibariyle yüzde </w:t>
      </w:r>
      <w:r w:rsidR="00AA2910" w:rsidRPr="00AA2910">
        <w:rPr>
          <w:rFonts w:ascii="Arial" w:hAnsi="Arial" w:cs="Arial"/>
          <w:sz w:val="22"/>
          <w:szCs w:val="22"/>
        </w:rPr>
        <w:t>15</w:t>
      </w:r>
      <w:r w:rsidR="0007088A">
        <w:rPr>
          <w:rFonts w:ascii="Arial" w:hAnsi="Arial" w:cs="Arial"/>
          <w:sz w:val="22"/>
          <w:szCs w:val="22"/>
        </w:rPr>
        <w:t xml:space="preserve"> artarak</w:t>
      </w:r>
      <w:r w:rsidR="00A20CEE" w:rsidRPr="00AA2910">
        <w:rPr>
          <w:rFonts w:ascii="Arial" w:hAnsi="Arial" w:cs="Arial"/>
          <w:sz w:val="22"/>
          <w:szCs w:val="22"/>
        </w:rPr>
        <w:t xml:space="preserve"> </w:t>
      </w:r>
      <w:r w:rsidRPr="00AA2910">
        <w:rPr>
          <w:rFonts w:ascii="Arial" w:hAnsi="Arial" w:cs="Arial"/>
          <w:sz w:val="22"/>
          <w:szCs w:val="22"/>
        </w:rPr>
        <w:t>8</w:t>
      </w:r>
      <w:r w:rsidR="00AA2910" w:rsidRPr="00AA2910">
        <w:rPr>
          <w:rFonts w:ascii="Arial" w:hAnsi="Arial" w:cs="Arial"/>
          <w:sz w:val="22"/>
          <w:szCs w:val="22"/>
        </w:rPr>
        <w:t xml:space="preserve">9 milyar </w:t>
      </w:r>
      <w:r w:rsidR="00A373FA">
        <w:rPr>
          <w:rFonts w:ascii="Arial" w:hAnsi="Arial" w:cs="Arial"/>
          <w:sz w:val="22"/>
          <w:szCs w:val="22"/>
        </w:rPr>
        <w:t>dolar</w:t>
      </w:r>
      <w:r w:rsidR="00A20CEE" w:rsidRPr="00AA2910">
        <w:rPr>
          <w:rFonts w:ascii="Arial" w:hAnsi="Arial" w:cs="Arial"/>
          <w:sz w:val="22"/>
          <w:szCs w:val="22"/>
        </w:rPr>
        <w:t xml:space="preserve">a yükselmiştir. En yüksek artış altyapı sektöründe olup </w:t>
      </w:r>
      <w:r w:rsidR="009D247E" w:rsidRPr="00AA2910">
        <w:rPr>
          <w:rFonts w:ascii="Arial" w:hAnsi="Arial" w:cs="Arial"/>
          <w:sz w:val="22"/>
          <w:szCs w:val="22"/>
        </w:rPr>
        <w:t xml:space="preserve">risk bakiyesi </w:t>
      </w:r>
      <w:r w:rsidR="00A20CEE" w:rsidRPr="00AA2910">
        <w:rPr>
          <w:rFonts w:ascii="Arial" w:hAnsi="Arial" w:cs="Arial"/>
          <w:sz w:val="22"/>
          <w:szCs w:val="22"/>
        </w:rPr>
        <w:t xml:space="preserve">yüzde </w:t>
      </w:r>
      <w:r w:rsidR="00AA2910" w:rsidRPr="00AA2910">
        <w:rPr>
          <w:rFonts w:ascii="Arial" w:hAnsi="Arial" w:cs="Arial"/>
          <w:sz w:val="22"/>
          <w:szCs w:val="22"/>
        </w:rPr>
        <w:t>36</w:t>
      </w:r>
      <w:r w:rsidR="00A20CEE" w:rsidRPr="00AA2910">
        <w:rPr>
          <w:rFonts w:ascii="Arial" w:hAnsi="Arial" w:cs="Arial"/>
          <w:sz w:val="22"/>
          <w:szCs w:val="22"/>
        </w:rPr>
        <w:t xml:space="preserve"> artarak </w:t>
      </w:r>
      <w:r w:rsidRPr="00AA2910">
        <w:rPr>
          <w:rFonts w:ascii="Arial" w:hAnsi="Arial" w:cs="Arial"/>
          <w:sz w:val="22"/>
          <w:szCs w:val="22"/>
        </w:rPr>
        <w:t>13</w:t>
      </w:r>
      <w:r w:rsidR="00A373FA">
        <w:rPr>
          <w:rFonts w:ascii="Arial" w:hAnsi="Arial" w:cs="Arial"/>
          <w:sz w:val="22"/>
          <w:szCs w:val="22"/>
        </w:rPr>
        <w:t xml:space="preserve"> milyar dolar</w:t>
      </w:r>
      <w:r w:rsidR="009D247E" w:rsidRPr="00AA2910">
        <w:rPr>
          <w:rFonts w:ascii="Arial" w:hAnsi="Arial" w:cs="Arial"/>
          <w:sz w:val="22"/>
          <w:szCs w:val="22"/>
        </w:rPr>
        <w:t xml:space="preserve">dan, </w:t>
      </w:r>
      <w:r w:rsidRPr="00AA2910">
        <w:rPr>
          <w:rFonts w:ascii="Arial" w:hAnsi="Arial" w:cs="Arial"/>
          <w:sz w:val="22"/>
          <w:szCs w:val="22"/>
        </w:rPr>
        <w:t>1</w:t>
      </w:r>
      <w:r w:rsidR="00AA2910" w:rsidRPr="00AA2910">
        <w:rPr>
          <w:rFonts w:ascii="Arial" w:hAnsi="Arial" w:cs="Arial"/>
          <w:sz w:val="22"/>
          <w:szCs w:val="22"/>
        </w:rPr>
        <w:t>7</w:t>
      </w:r>
      <w:r w:rsidR="00A373FA">
        <w:rPr>
          <w:rFonts w:ascii="Arial" w:hAnsi="Arial" w:cs="Arial"/>
          <w:sz w:val="22"/>
          <w:szCs w:val="22"/>
        </w:rPr>
        <w:t xml:space="preserve"> milyar dolar</w:t>
      </w:r>
      <w:r w:rsidR="00A20CEE" w:rsidRPr="00AA2910">
        <w:rPr>
          <w:rFonts w:ascii="Arial" w:hAnsi="Arial" w:cs="Arial"/>
          <w:sz w:val="22"/>
          <w:szCs w:val="22"/>
        </w:rPr>
        <w:t>a yüks</w:t>
      </w:r>
      <w:r w:rsidR="009D247E" w:rsidRPr="00AA2910">
        <w:rPr>
          <w:rFonts w:ascii="Arial" w:hAnsi="Arial" w:cs="Arial"/>
          <w:sz w:val="22"/>
          <w:szCs w:val="22"/>
        </w:rPr>
        <w:t xml:space="preserve">elmiştir. Aynı dönem itibariyle </w:t>
      </w:r>
      <w:r w:rsidR="008203C4" w:rsidRPr="00AA2910">
        <w:rPr>
          <w:rFonts w:ascii="Arial" w:hAnsi="Arial" w:cs="Arial"/>
          <w:sz w:val="22"/>
          <w:szCs w:val="22"/>
        </w:rPr>
        <w:t xml:space="preserve">dolar bazında </w:t>
      </w:r>
      <w:r w:rsidR="009D247E" w:rsidRPr="00AA2910">
        <w:rPr>
          <w:rFonts w:ascii="Arial" w:hAnsi="Arial" w:cs="Arial"/>
          <w:sz w:val="22"/>
          <w:szCs w:val="22"/>
        </w:rPr>
        <w:t>risk bakiyesi, gayrimenkul sektöründe yüzde</w:t>
      </w:r>
      <w:r w:rsidR="00AA2910" w:rsidRPr="00AA2910">
        <w:rPr>
          <w:rFonts w:ascii="Arial" w:hAnsi="Arial" w:cs="Arial"/>
          <w:sz w:val="22"/>
          <w:szCs w:val="22"/>
        </w:rPr>
        <w:t xml:space="preserve"> 3</w:t>
      </w:r>
      <w:r w:rsidR="00594DDC" w:rsidRPr="00AA2910">
        <w:rPr>
          <w:rFonts w:ascii="Arial" w:hAnsi="Arial" w:cs="Arial"/>
          <w:sz w:val="22"/>
          <w:szCs w:val="22"/>
        </w:rPr>
        <w:t xml:space="preserve">, enerji sektöründe yüzde </w:t>
      </w:r>
      <w:r w:rsidR="00AA2910" w:rsidRPr="00AA2910">
        <w:rPr>
          <w:rFonts w:ascii="Arial" w:hAnsi="Arial" w:cs="Arial"/>
          <w:sz w:val="22"/>
          <w:szCs w:val="22"/>
        </w:rPr>
        <w:t>11</w:t>
      </w:r>
      <w:r w:rsidR="00594DDC" w:rsidRPr="00AA2910">
        <w:rPr>
          <w:rFonts w:ascii="Arial" w:hAnsi="Arial" w:cs="Arial"/>
          <w:sz w:val="22"/>
          <w:szCs w:val="22"/>
        </w:rPr>
        <w:t xml:space="preserve">, diğer sektörlerde ise yüzde </w:t>
      </w:r>
      <w:r w:rsidR="00AA2910" w:rsidRPr="00AA2910">
        <w:rPr>
          <w:rFonts w:ascii="Arial" w:hAnsi="Arial" w:cs="Arial"/>
          <w:sz w:val="22"/>
          <w:szCs w:val="22"/>
        </w:rPr>
        <w:t>1</w:t>
      </w:r>
      <w:r w:rsidR="00594DDC" w:rsidRPr="00AA2910">
        <w:rPr>
          <w:rFonts w:ascii="Arial" w:hAnsi="Arial" w:cs="Arial"/>
          <w:sz w:val="22"/>
          <w:szCs w:val="22"/>
        </w:rPr>
        <w:t>4</w:t>
      </w:r>
      <w:r w:rsidR="009D247E" w:rsidRPr="00AA2910">
        <w:rPr>
          <w:rFonts w:ascii="Arial" w:hAnsi="Arial" w:cs="Arial"/>
          <w:sz w:val="22"/>
          <w:szCs w:val="22"/>
        </w:rPr>
        <w:t xml:space="preserve"> artmıştır.</w:t>
      </w:r>
    </w:p>
    <w:sectPr w:rsidR="009017A9" w:rsidRPr="00AA2910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C" w:rsidRDefault="00841DDC">
      <w:r>
        <w:separator/>
      </w:r>
    </w:p>
  </w:endnote>
  <w:endnote w:type="continuationSeparator" w:id="0">
    <w:p w:rsidR="00841DDC" w:rsidRDefault="008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27E23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Aralık 2017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925F34">
      <w:rPr>
        <w:rFonts w:ascii="Arial" w:hAnsi="Arial" w:cs="Arial"/>
        <w:sz w:val="18"/>
        <w:szCs w:val="18"/>
      </w:rPr>
      <w:t xml:space="preserve">Aralık </w:t>
    </w:r>
    <w:r w:rsidR="004F78DC">
      <w:rPr>
        <w:rFonts w:ascii="Arial" w:hAnsi="Arial" w:cs="Arial"/>
        <w:sz w:val="18"/>
        <w:szCs w:val="18"/>
      </w:rPr>
      <w:t>2017</w:t>
    </w:r>
    <w:r>
      <w:rPr>
        <w:rFonts w:ascii="Arial" w:hAnsi="Arial" w:cs="Arial"/>
        <w:sz w:val="18"/>
        <w:szCs w:val="18"/>
      </w:rPr>
      <w:t xml:space="preserve">   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C" w:rsidRDefault="00841DDC">
      <w:r>
        <w:separator/>
      </w:r>
    </w:p>
  </w:footnote>
  <w:footnote w:type="continuationSeparator" w:id="0">
    <w:p w:rsidR="00841DDC" w:rsidRDefault="00841DDC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88A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3604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7DFB"/>
    <w:rsid w:val="0059006B"/>
    <w:rsid w:val="00590BBA"/>
    <w:rsid w:val="00590CB4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1DDC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306E"/>
    <w:rsid w:val="008650A4"/>
    <w:rsid w:val="0086653D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115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1BAF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5353"/>
    <w:rsid w:val="00985B1C"/>
    <w:rsid w:val="00987E3D"/>
    <w:rsid w:val="009967A6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27E23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C2D"/>
    <w:rsid w:val="00B8035B"/>
    <w:rsid w:val="00B81C2E"/>
    <w:rsid w:val="00B83788"/>
    <w:rsid w:val="00B850A8"/>
    <w:rsid w:val="00B85AFC"/>
    <w:rsid w:val="00B85CE9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64FBF"/>
    <w:rsid w:val="00E71FBA"/>
    <w:rsid w:val="00E72017"/>
    <w:rsid w:val="00E72C2F"/>
    <w:rsid w:val="00E72F71"/>
    <w:rsid w:val="00E7595B"/>
    <w:rsid w:val="00E7607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893C8C4F-08C0-417B-9AE0-9D6D8E05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nsalu\Desktop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6.4686856806821527E-2"/>
          <c:w val="0.93888888888888888"/>
          <c:h val="0.8354601587768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Sheet3!$C$2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Sheet3!$B$3:$B$5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Sheet3!$C$3:$C$5</c:f>
              <c:numCache>
                <c:formatCode>#,##0</c:formatCode>
                <c:ptCount val="3"/>
                <c:pt idx="0">
                  <c:v>207.9085</c:v>
                </c:pt>
                <c:pt idx="1">
                  <c:v>271.83730000000003</c:v>
                </c:pt>
                <c:pt idx="2">
                  <c:v>333.96629999999999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2-47F8-806B-C143DA2E6905}"/>
            </c:ext>
          </c:extLst>
        </c:ser>
        <c:ser>
          <c:idx val="1"/>
          <c:order val="1"/>
          <c:tx>
            <c:strRef>
              <c:f>Sheet3!$D$2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Sheet3!$B$3:$B$5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Sheet3!$D$3:$D$5</c:f>
              <c:numCache>
                <c:formatCode>#,##0</c:formatCode>
                <c:ptCount val="3"/>
                <c:pt idx="0">
                  <c:v>71.2479010314931</c:v>
                </c:pt>
                <c:pt idx="1">
                  <c:v>77.244061150261416</c:v>
                </c:pt>
                <c:pt idx="2">
                  <c:v>88.540602879185556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22-47F8-806B-C143DA2E6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025624"/>
        <c:axId val="282763384"/>
      </c:barChart>
      <c:catAx>
        <c:axId val="36202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2763384"/>
        <c:crosses val="autoZero"/>
        <c:auto val="1"/>
        <c:lblAlgn val="ctr"/>
        <c:lblOffset val="100"/>
        <c:noMultiLvlLbl val="0"/>
      </c:catAx>
      <c:valAx>
        <c:axId val="28276338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6202562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566831909498009E-2"/>
          <c:y val="4.086829310270642E-2"/>
          <c:w val="0.33865157480314961"/>
          <c:h val="9.379316412264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02392982636127E-2"/>
          <c:y val="1.0573417906095072E-2"/>
          <c:w val="0.89406995135380063"/>
          <c:h val="0.953053732866725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2C-4C44-A307-06F3FB5BA2E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2C-4C44-A307-06F3FB5BA2E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2C-4C44-A307-06F3FB5BA2E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2C-4C44-A307-06F3FB5BA2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[Book1.xlsx]Sheet1!$K$5:$K$8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[Book1.xlsx]Sheet1!$L$5:$L$8</c:f>
              <c:numCache>
                <c:formatCode>General</c:formatCode>
                <c:ptCount val="4"/>
                <c:pt idx="0">
                  <c:v>156</c:v>
                </c:pt>
                <c:pt idx="1">
                  <c:v>65</c:v>
                </c:pt>
                <c:pt idx="2">
                  <c:v>36</c:v>
                </c:pt>
                <c:pt idx="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D2C-4C44-A307-06F3FB5BA2E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5161-6A5B-4130-A78C-321CDD13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Aslı Özaktan</cp:lastModifiedBy>
  <cp:revision>2</cp:revision>
  <cp:lastPrinted>2017-02-24T13:12:00Z</cp:lastPrinted>
  <dcterms:created xsi:type="dcterms:W3CDTF">2018-02-15T06:01:00Z</dcterms:created>
  <dcterms:modified xsi:type="dcterms:W3CDTF">2018-02-15T06:01:00Z</dcterms:modified>
</cp:coreProperties>
</file>