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D6" w:rsidRPr="00927FD6" w:rsidRDefault="00927FD6" w:rsidP="00927FD6">
      <w:pPr>
        <w:jc w:val="center"/>
        <w:rPr>
          <w:rStyle w:val="Emphasis"/>
          <w:rFonts w:cs="Arial"/>
          <w:b/>
          <w:bCs/>
          <w:i w:val="0"/>
          <w:sz w:val="24"/>
        </w:rPr>
      </w:pPr>
      <w:r w:rsidRPr="00927FD6">
        <w:rPr>
          <w:rStyle w:val="Emphasis"/>
          <w:b/>
          <w:bCs/>
          <w:i w:val="0"/>
          <w:sz w:val="24"/>
          <w:lang w:eastAsia="tr-TR"/>
        </w:rPr>
        <w:t>Banka</w:t>
      </w:r>
      <w:bookmarkStart w:id="0" w:name="_GoBack"/>
      <w:bookmarkEnd w:id="0"/>
      <w:r w:rsidRPr="00927FD6">
        <w:rPr>
          <w:rStyle w:val="Emphasis"/>
          <w:b/>
          <w:bCs/>
          <w:i w:val="0"/>
          <w:sz w:val="24"/>
          <w:lang w:eastAsia="tr-TR"/>
        </w:rPr>
        <w:t xml:space="preserve"> ve Finansman Şirketlerince Kullandırılan Tüketici Kredilerinde Kaynak Kullanımı Destekleme Fonu Kesintisi Hakkında</w:t>
      </w:r>
    </w:p>
    <w:p w:rsidR="00927FD6" w:rsidRPr="00927FD6" w:rsidRDefault="00927FD6" w:rsidP="00927FD6">
      <w:pPr>
        <w:jc w:val="center"/>
        <w:rPr>
          <w:rStyle w:val="Emphasis"/>
          <w:b/>
          <w:bCs/>
          <w:i w:val="0"/>
          <w:sz w:val="24"/>
          <w:lang w:eastAsia="tr-TR"/>
        </w:rPr>
      </w:pPr>
      <w:r w:rsidRPr="00927FD6">
        <w:rPr>
          <w:rStyle w:val="Emphasis"/>
          <w:b/>
          <w:bCs/>
          <w:i w:val="0"/>
          <w:sz w:val="24"/>
          <w:lang w:eastAsia="tr-TR"/>
        </w:rPr>
        <w:t>Kamuoyu Duyurusu</w:t>
      </w:r>
    </w:p>
    <w:p w:rsidR="00927FD6" w:rsidRPr="00927FD6" w:rsidRDefault="00927FD6" w:rsidP="00927FD6">
      <w:pPr>
        <w:jc w:val="center"/>
        <w:rPr>
          <w:rFonts w:ascii="Calibri" w:hAnsi="Calibri" w:cs="Calibri"/>
          <w:sz w:val="24"/>
        </w:rPr>
      </w:pPr>
    </w:p>
    <w:p w:rsidR="00927FD6" w:rsidRPr="00927FD6" w:rsidRDefault="00091FF5" w:rsidP="00927FD6">
      <w:pPr>
        <w:jc w:val="center"/>
        <w:rPr>
          <w:rStyle w:val="Emphasis"/>
          <w:rFonts w:cs="Arial"/>
          <w:i w:val="0"/>
          <w:sz w:val="24"/>
        </w:rPr>
      </w:pPr>
      <w:r>
        <w:rPr>
          <w:rStyle w:val="Emphasis"/>
          <w:b/>
          <w:bCs/>
          <w:i w:val="0"/>
          <w:sz w:val="24"/>
        </w:rPr>
        <w:t>8</w:t>
      </w:r>
      <w:r>
        <w:rPr>
          <w:rStyle w:val="Emphasis"/>
          <w:b/>
          <w:bCs/>
          <w:i w:val="0"/>
          <w:sz w:val="24"/>
        </w:rPr>
        <w:t xml:space="preserve"> </w:t>
      </w:r>
      <w:r w:rsidR="00927FD6">
        <w:rPr>
          <w:rStyle w:val="Emphasis"/>
          <w:b/>
          <w:bCs/>
          <w:i w:val="0"/>
          <w:sz w:val="24"/>
        </w:rPr>
        <w:t xml:space="preserve">Temmuz </w:t>
      </w:r>
      <w:r w:rsidR="00927FD6" w:rsidRPr="00927FD6">
        <w:rPr>
          <w:rStyle w:val="Emphasis"/>
          <w:b/>
          <w:bCs/>
          <w:i w:val="0"/>
          <w:sz w:val="24"/>
        </w:rPr>
        <w:t>2011</w:t>
      </w:r>
    </w:p>
    <w:p w:rsidR="00927FD6" w:rsidRDefault="00927FD6" w:rsidP="00927FD6">
      <w:pPr>
        <w:jc w:val="both"/>
        <w:rPr>
          <w:rFonts w:ascii="Calibri" w:hAnsi="Calibri" w:cs="Calibri"/>
          <w:szCs w:val="22"/>
        </w:rPr>
      </w:pPr>
    </w:p>
    <w:p w:rsidR="00927FD6" w:rsidRDefault="00927FD6" w:rsidP="00927FD6">
      <w:pPr>
        <w:jc w:val="both"/>
      </w:pPr>
    </w:p>
    <w:p w:rsidR="00927FD6" w:rsidRPr="00927FD6" w:rsidRDefault="00927FD6" w:rsidP="00927FD6">
      <w:pPr>
        <w:jc w:val="both"/>
        <w:rPr>
          <w:color w:val="000000" w:themeColor="text1"/>
        </w:rPr>
      </w:pPr>
      <w:r w:rsidRPr="00927FD6">
        <w:rPr>
          <w:rStyle w:val="Emphasis"/>
          <w:i w:val="0"/>
          <w:color w:val="000000" w:themeColor="text1"/>
          <w:szCs w:val="20"/>
        </w:rPr>
        <w:t xml:space="preserve">Banka ve finansman şirketlerince kullandırılan tüketici kredilerinde uygulanmakta olan </w:t>
      </w:r>
      <w:r w:rsidR="005F3FBD">
        <w:rPr>
          <w:rStyle w:val="Emphasis"/>
          <w:i w:val="0"/>
          <w:color w:val="000000" w:themeColor="text1"/>
          <w:szCs w:val="20"/>
        </w:rPr>
        <w:t>K</w:t>
      </w:r>
      <w:r w:rsidR="005F3FBD" w:rsidRPr="00927FD6">
        <w:rPr>
          <w:rStyle w:val="Emphasis"/>
          <w:i w:val="0"/>
          <w:color w:val="000000" w:themeColor="text1"/>
          <w:szCs w:val="20"/>
        </w:rPr>
        <w:t xml:space="preserve">aynak </w:t>
      </w:r>
      <w:r w:rsidR="005F3FBD">
        <w:rPr>
          <w:rStyle w:val="Emphasis"/>
          <w:i w:val="0"/>
          <w:color w:val="000000" w:themeColor="text1"/>
          <w:szCs w:val="20"/>
        </w:rPr>
        <w:t>K</w:t>
      </w:r>
      <w:r w:rsidR="005F3FBD" w:rsidRPr="00927FD6">
        <w:rPr>
          <w:rStyle w:val="Emphasis"/>
          <w:i w:val="0"/>
          <w:color w:val="000000" w:themeColor="text1"/>
          <w:szCs w:val="20"/>
        </w:rPr>
        <w:t xml:space="preserve">ullanımı </w:t>
      </w:r>
      <w:r w:rsidR="005F3FBD">
        <w:rPr>
          <w:rStyle w:val="Emphasis"/>
          <w:i w:val="0"/>
          <w:color w:val="000000" w:themeColor="text1"/>
          <w:szCs w:val="20"/>
        </w:rPr>
        <w:t>D</w:t>
      </w:r>
      <w:r w:rsidR="005F3FBD" w:rsidRPr="00927FD6">
        <w:rPr>
          <w:rStyle w:val="Emphasis"/>
          <w:i w:val="0"/>
          <w:color w:val="000000" w:themeColor="text1"/>
          <w:szCs w:val="20"/>
        </w:rPr>
        <w:t xml:space="preserve">estekleme </w:t>
      </w:r>
      <w:r w:rsidR="005F3FBD">
        <w:rPr>
          <w:rStyle w:val="Emphasis"/>
          <w:i w:val="0"/>
          <w:color w:val="000000" w:themeColor="text1"/>
          <w:szCs w:val="20"/>
        </w:rPr>
        <w:t>F</w:t>
      </w:r>
      <w:r w:rsidR="005F3FBD" w:rsidRPr="00927FD6">
        <w:rPr>
          <w:rStyle w:val="Emphasis"/>
          <w:i w:val="0"/>
          <w:color w:val="000000" w:themeColor="text1"/>
          <w:szCs w:val="20"/>
        </w:rPr>
        <w:t>onu</w:t>
      </w:r>
      <w:r w:rsidR="005F3FBD">
        <w:rPr>
          <w:rStyle w:val="Emphasis"/>
          <w:i w:val="0"/>
          <w:color w:val="000000" w:themeColor="text1"/>
          <w:szCs w:val="20"/>
        </w:rPr>
        <w:t xml:space="preserve"> (KKDF)</w:t>
      </w:r>
      <w:r w:rsidRPr="00927FD6">
        <w:rPr>
          <w:rStyle w:val="Emphasis"/>
          <w:i w:val="0"/>
          <w:color w:val="000000" w:themeColor="text1"/>
          <w:szCs w:val="20"/>
        </w:rPr>
        <w:t xml:space="preserve"> kesintisine ilişkin uygulama esasları</w:t>
      </w:r>
      <w:r w:rsidR="00367140">
        <w:rPr>
          <w:rStyle w:val="Emphasis"/>
          <w:i w:val="0"/>
          <w:color w:val="000000" w:themeColor="text1"/>
          <w:szCs w:val="20"/>
        </w:rPr>
        <w:t>,</w:t>
      </w:r>
      <w:r w:rsidRPr="00927FD6">
        <w:rPr>
          <w:rStyle w:val="Emphasis"/>
          <w:i w:val="0"/>
          <w:color w:val="000000" w:themeColor="text1"/>
          <w:szCs w:val="20"/>
        </w:rPr>
        <w:t> mevzuat tarafından yetkili kılınan kurumlar tarafından belirlenmekte</w:t>
      </w:r>
      <w:r w:rsidR="00367140">
        <w:rPr>
          <w:rStyle w:val="Emphasis"/>
          <w:i w:val="0"/>
          <w:color w:val="000000" w:themeColor="text1"/>
          <w:szCs w:val="20"/>
        </w:rPr>
        <w:t>,</w:t>
      </w:r>
      <w:r w:rsidRPr="00927FD6">
        <w:rPr>
          <w:rStyle w:val="Emphasis"/>
          <w:i w:val="0"/>
          <w:color w:val="000000" w:themeColor="text1"/>
          <w:szCs w:val="20"/>
        </w:rPr>
        <w:t xml:space="preserve"> Banka ve Finansman şirketlerince belirlenen esaslar uyarınca işlem yapılmaktadır.</w:t>
      </w:r>
    </w:p>
    <w:p w:rsidR="00927FD6" w:rsidRPr="00927FD6" w:rsidRDefault="00927FD6" w:rsidP="00927FD6">
      <w:pPr>
        <w:jc w:val="both"/>
        <w:rPr>
          <w:color w:val="000000" w:themeColor="text1"/>
        </w:rPr>
      </w:pPr>
    </w:p>
    <w:p w:rsidR="00927FD6" w:rsidRPr="00927FD6" w:rsidRDefault="00927FD6" w:rsidP="00927FD6">
      <w:pPr>
        <w:jc w:val="both"/>
        <w:rPr>
          <w:rStyle w:val="Emphasis"/>
          <w:rFonts w:cs="Arial"/>
          <w:i w:val="0"/>
          <w:color w:val="000000" w:themeColor="text1"/>
          <w:sz w:val="20"/>
          <w:szCs w:val="20"/>
        </w:rPr>
      </w:pPr>
      <w:r w:rsidRPr="00927FD6">
        <w:rPr>
          <w:rStyle w:val="Emphasis"/>
          <w:i w:val="0"/>
          <w:color w:val="000000" w:themeColor="text1"/>
          <w:szCs w:val="20"/>
        </w:rPr>
        <w:t xml:space="preserve">Fon kesintisi </w:t>
      </w:r>
      <w:r w:rsidR="005F3FBD">
        <w:rPr>
          <w:rStyle w:val="Emphasis"/>
          <w:i w:val="0"/>
          <w:color w:val="000000" w:themeColor="text1"/>
          <w:szCs w:val="20"/>
        </w:rPr>
        <w:t>konusunda</w:t>
      </w:r>
      <w:r w:rsidR="00367140">
        <w:rPr>
          <w:rStyle w:val="Emphasis"/>
          <w:i w:val="0"/>
          <w:color w:val="000000" w:themeColor="text1"/>
          <w:szCs w:val="20"/>
        </w:rPr>
        <w:t>,</w:t>
      </w:r>
      <w:r w:rsidRPr="00927FD6">
        <w:rPr>
          <w:rStyle w:val="Emphasis"/>
          <w:i w:val="0"/>
          <w:color w:val="000000" w:themeColor="text1"/>
          <w:szCs w:val="20"/>
        </w:rPr>
        <w:t xml:space="preserve"> Danıştay Onuncu Dairesi tarafından alınan karara ilişkin olmak üzere</w:t>
      </w:r>
      <w:r w:rsidR="00367140">
        <w:rPr>
          <w:rStyle w:val="Emphasis"/>
          <w:i w:val="0"/>
          <w:color w:val="000000" w:themeColor="text1"/>
          <w:szCs w:val="20"/>
        </w:rPr>
        <w:t>,</w:t>
      </w:r>
      <w:r w:rsidRPr="00927FD6">
        <w:rPr>
          <w:rStyle w:val="Emphasis"/>
          <w:i w:val="0"/>
          <w:color w:val="000000" w:themeColor="text1"/>
          <w:szCs w:val="20"/>
        </w:rPr>
        <w:t xml:space="preserve"> kararın muhatabı ilgili Kurum tarafından yapılan değerlendirme sonrasında, 28.10.2010 tarihinden önce kullandırılan sabit oranlı Türk Lirası kredilerinde </w:t>
      </w:r>
      <w:r w:rsidR="005F3FBD">
        <w:rPr>
          <w:rStyle w:val="Emphasis"/>
          <w:i w:val="0"/>
          <w:color w:val="000000" w:themeColor="text1"/>
          <w:szCs w:val="20"/>
        </w:rPr>
        <w:t>K</w:t>
      </w:r>
      <w:r w:rsidR="005F3FBD" w:rsidRPr="00927FD6">
        <w:rPr>
          <w:rStyle w:val="Emphasis"/>
          <w:i w:val="0"/>
          <w:color w:val="000000" w:themeColor="text1"/>
          <w:szCs w:val="20"/>
        </w:rPr>
        <w:t xml:space="preserve">aynak </w:t>
      </w:r>
      <w:r w:rsidR="005F3FBD">
        <w:rPr>
          <w:rStyle w:val="Emphasis"/>
          <w:i w:val="0"/>
          <w:color w:val="000000" w:themeColor="text1"/>
          <w:szCs w:val="20"/>
        </w:rPr>
        <w:t>K</w:t>
      </w:r>
      <w:r w:rsidR="005F3FBD" w:rsidRPr="00927FD6">
        <w:rPr>
          <w:rStyle w:val="Emphasis"/>
          <w:i w:val="0"/>
          <w:color w:val="000000" w:themeColor="text1"/>
          <w:szCs w:val="20"/>
        </w:rPr>
        <w:t xml:space="preserve">ullanımı </w:t>
      </w:r>
      <w:r w:rsidR="005F3FBD">
        <w:rPr>
          <w:rStyle w:val="Emphasis"/>
          <w:i w:val="0"/>
          <w:color w:val="000000" w:themeColor="text1"/>
          <w:szCs w:val="20"/>
        </w:rPr>
        <w:t>D</w:t>
      </w:r>
      <w:r w:rsidR="005F3FBD" w:rsidRPr="00927FD6">
        <w:rPr>
          <w:rStyle w:val="Emphasis"/>
          <w:i w:val="0"/>
          <w:color w:val="000000" w:themeColor="text1"/>
          <w:szCs w:val="20"/>
        </w:rPr>
        <w:t xml:space="preserve">estekleme </w:t>
      </w:r>
      <w:r w:rsidR="005F3FBD">
        <w:rPr>
          <w:rStyle w:val="Emphasis"/>
          <w:i w:val="0"/>
          <w:color w:val="000000" w:themeColor="text1"/>
          <w:szCs w:val="20"/>
        </w:rPr>
        <w:t>F</w:t>
      </w:r>
      <w:r w:rsidR="005F3FBD" w:rsidRPr="00927FD6">
        <w:rPr>
          <w:rStyle w:val="Emphasis"/>
          <w:i w:val="0"/>
          <w:color w:val="000000" w:themeColor="text1"/>
          <w:szCs w:val="20"/>
        </w:rPr>
        <w:t xml:space="preserve">onu </w:t>
      </w:r>
      <w:r w:rsidRPr="00927FD6">
        <w:rPr>
          <w:rStyle w:val="Emphasis"/>
          <w:i w:val="0"/>
          <w:color w:val="000000" w:themeColor="text1"/>
          <w:szCs w:val="20"/>
        </w:rPr>
        <w:t>kesintisi oranının yüzde 10 olarak uygulanması gerektiği tüm Bankalara bildirilmek üzere Birliğimize tebliğ edilmiştir.</w:t>
      </w:r>
    </w:p>
    <w:p w:rsidR="00927FD6" w:rsidRPr="00927FD6" w:rsidRDefault="00927FD6" w:rsidP="00927FD6">
      <w:pPr>
        <w:jc w:val="both"/>
        <w:rPr>
          <w:rFonts w:ascii="Calibri" w:hAnsi="Calibri" w:cs="Calibri"/>
          <w:color w:val="000000" w:themeColor="text1"/>
          <w:szCs w:val="22"/>
        </w:rPr>
      </w:pPr>
    </w:p>
    <w:p w:rsidR="00927FD6" w:rsidRPr="00927FD6" w:rsidRDefault="00927FD6" w:rsidP="00927FD6">
      <w:pPr>
        <w:jc w:val="both"/>
        <w:rPr>
          <w:rStyle w:val="Emphasis"/>
          <w:rFonts w:cs="Arial"/>
          <w:i w:val="0"/>
          <w:color w:val="000000" w:themeColor="text1"/>
          <w:sz w:val="20"/>
          <w:szCs w:val="20"/>
        </w:rPr>
      </w:pPr>
      <w:r w:rsidRPr="00927FD6">
        <w:rPr>
          <w:rStyle w:val="Emphasis"/>
          <w:i w:val="0"/>
          <w:color w:val="000000" w:themeColor="text1"/>
          <w:szCs w:val="20"/>
        </w:rPr>
        <w:t>Diğer taraftan, değişken faizli veya dövize endeksli Türk Lirası kredilerinde ise</w:t>
      </w:r>
      <w:r w:rsidR="00367140">
        <w:rPr>
          <w:rStyle w:val="Emphasis"/>
          <w:i w:val="0"/>
          <w:color w:val="000000" w:themeColor="text1"/>
          <w:szCs w:val="20"/>
        </w:rPr>
        <w:t>,</w:t>
      </w:r>
      <w:r w:rsidRPr="00927FD6">
        <w:rPr>
          <w:rStyle w:val="Emphasis"/>
          <w:i w:val="0"/>
          <w:color w:val="000000" w:themeColor="text1"/>
          <w:szCs w:val="20"/>
        </w:rPr>
        <w:t xml:space="preserve"> kredi kullanım tarihine bakılmaksızın</w:t>
      </w:r>
      <w:r w:rsidR="00367140">
        <w:rPr>
          <w:rStyle w:val="Emphasis"/>
          <w:i w:val="0"/>
          <w:color w:val="000000" w:themeColor="text1"/>
          <w:szCs w:val="20"/>
        </w:rPr>
        <w:t>,</w:t>
      </w:r>
      <w:r w:rsidRPr="00927FD6">
        <w:rPr>
          <w:rStyle w:val="Emphasis"/>
          <w:i w:val="0"/>
          <w:color w:val="000000" w:themeColor="text1"/>
          <w:szCs w:val="20"/>
        </w:rPr>
        <w:t xml:space="preserve"> fon kesintisi</w:t>
      </w:r>
      <w:r w:rsidR="00367140">
        <w:rPr>
          <w:rStyle w:val="Emphasis"/>
          <w:i w:val="0"/>
          <w:color w:val="000000" w:themeColor="text1"/>
          <w:szCs w:val="20"/>
        </w:rPr>
        <w:t>nin</w:t>
      </w:r>
      <w:r w:rsidR="005F3FBD">
        <w:rPr>
          <w:rStyle w:val="Emphasis"/>
          <w:i w:val="0"/>
          <w:color w:val="000000" w:themeColor="text1"/>
          <w:szCs w:val="20"/>
        </w:rPr>
        <w:t>,</w:t>
      </w:r>
      <w:r w:rsidRPr="00927FD6">
        <w:rPr>
          <w:rStyle w:val="Emphasis"/>
          <w:i w:val="0"/>
          <w:color w:val="000000" w:themeColor="text1"/>
          <w:szCs w:val="20"/>
        </w:rPr>
        <w:t xml:space="preserve"> ilgili kurum tarafından belirlenen yüzde 15 oranında uygulanmasına devam edileceği de ayrıca belirtilmiş bulunmaktadır.</w:t>
      </w:r>
    </w:p>
    <w:p w:rsidR="00927FD6" w:rsidRPr="00927FD6" w:rsidRDefault="00927FD6" w:rsidP="00927FD6">
      <w:pPr>
        <w:jc w:val="both"/>
        <w:rPr>
          <w:rFonts w:ascii="Calibri" w:hAnsi="Calibri" w:cs="Calibri"/>
          <w:color w:val="000000" w:themeColor="text1"/>
          <w:szCs w:val="22"/>
        </w:rPr>
      </w:pPr>
    </w:p>
    <w:p w:rsidR="00927FD6" w:rsidRPr="00927FD6" w:rsidRDefault="00927FD6" w:rsidP="00927FD6">
      <w:pPr>
        <w:jc w:val="both"/>
        <w:rPr>
          <w:rStyle w:val="Emphasis"/>
          <w:rFonts w:cs="Arial"/>
          <w:i w:val="0"/>
          <w:color w:val="000000" w:themeColor="text1"/>
          <w:sz w:val="20"/>
          <w:szCs w:val="20"/>
        </w:rPr>
      </w:pPr>
      <w:r w:rsidRPr="00927FD6">
        <w:rPr>
          <w:rStyle w:val="Emphasis"/>
          <w:i w:val="0"/>
          <w:color w:val="000000" w:themeColor="text1"/>
          <w:szCs w:val="20"/>
        </w:rPr>
        <w:t>Birliğimiz üyesi Bankalarca</w:t>
      </w:r>
      <w:r w:rsidR="001E2DE9">
        <w:rPr>
          <w:rStyle w:val="Emphasis"/>
          <w:i w:val="0"/>
          <w:color w:val="000000" w:themeColor="text1"/>
          <w:szCs w:val="20"/>
        </w:rPr>
        <w:t>,</w:t>
      </w:r>
      <w:r w:rsidRPr="00927FD6">
        <w:rPr>
          <w:rStyle w:val="Emphasis"/>
          <w:i w:val="0"/>
          <w:color w:val="000000" w:themeColor="text1"/>
          <w:szCs w:val="20"/>
        </w:rPr>
        <w:t xml:space="preserve"> </w:t>
      </w:r>
      <w:r w:rsidR="005F3FBD">
        <w:rPr>
          <w:rStyle w:val="Emphasis"/>
          <w:i w:val="0"/>
          <w:color w:val="000000" w:themeColor="text1"/>
          <w:szCs w:val="20"/>
        </w:rPr>
        <w:t>K</w:t>
      </w:r>
      <w:r w:rsidR="005F3FBD" w:rsidRPr="00927FD6">
        <w:rPr>
          <w:rStyle w:val="Emphasis"/>
          <w:i w:val="0"/>
          <w:color w:val="000000" w:themeColor="text1"/>
          <w:szCs w:val="20"/>
        </w:rPr>
        <w:t xml:space="preserve">aynak </w:t>
      </w:r>
      <w:r w:rsidR="005F3FBD">
        <w:rPr>
          <w:rStyle w:val="Emphasis"/>
          <w:i w:val="0"/>
          <w:color w:val="000000" w:themeColor="text1"/>
          <w:szCs w:val="20"/>
        </w:rPr>
        <w:t>K</w:t>
      </w:r>
      <w:r w:rsidR="005F3FBD" w:rsidRPr="00927FD6">
        <w:rPr>
          <w:rStyle w:val="Emphasis"/>
          <w:i w:val="0"/>
          <w:color w:val="000000" w:themeColor="text1"/>
          <w:szCs w:val="20"/>
        </w:rPr>
        <w:t xml:space="preserve">ullanımı </w:t>
      </w:r>
      <w:r w:rsidR="005F3FBD">
        <w:rPr>
          <w:rStyle w:val="Emphasis"/>
          <w:i w:val="0"/>
          <w:color w:val="000000" w:themeColor="text1"/>
          <w:szCs w:val="20"/>
        </w:rPr>
        <w:t>D</w:t>
      </w:r>
      <w:r w:rsidR="005F3FBD" w:rsidRPr="00927FD6">
        <w:rPr>
          <w:rStyle w:val="Emphasis"/>
          <w:i w:val="0"/>
          <w:color w:val="000000" w:themeColor="text1"/>
          <w:szCs w:val="20"/>
        </w:rPr>
        <w:t xml:space="preserve">estekleme </w:t>
      </w:r>
      <w:r w:rsidR="005F3FBD">
        <w:rPr>
          <w:rStyle w:val="Emphasis"/>
          <w:i w:val="0"/>
          <w:color w:val="000000" w:themeColor="text1"/>
          <w:szCs w:val="20"/>
        </w:rPr>
        <w:t>F</w:t>
      </w:r>
      <w:r w:rsidR="005F3FBD" w:rsidRPr="00927FD6">
        <w:rPr>
          <w:rStyle w:val="Emphasis"/>
          <w:i w:val="0"/>
          <w:color w:val="000000" w:themeColor="text1"/>
          <w:szCs w:val="20"/>
        </w:rPr>
        <w:t xml:space="preserve">onu </w:t>
      </w:r>
      <w:r w:rsidRPr="00927FD6">
        <w:rPr>
          <w:rStyle w:val="Emphasis"/>
          <w:i w:val="0"/>
          <w:color w:val="000000" w:themeColor="text1"/>
          <w:szCs w:val="20"/>
        </w:rPr>
        <w:t>kesinti uygulaması 28.10.2010 tarihinden önce kullandırılan krediler ile ilgili olmak üzere ilgili Kurum belirlemeleri doğrultusunda olacaktır.</w:t>
      </w:r>
    </w:p>
    <w:p w:rsidR="00927FD6" w:rsidRPr="00927FD6" w:rsidRDefault="00927FD6" w:rsidP="00927FD6">
      <w:pPr>
        <w:jc w:val="both"/>
        <w:rPr>
          <w:rFonts w:ascii="Calibri" w:hAnsi="Calibri" w:cs="Calibri"/>
          <w:color w:val="000000" w:themeColor="text1"/>
          <w:szCs w:val="22"/>
        </w:rPr>
      </w:pPr>
    </w:p>
    <w:p w:rsidR="00927FD6" w:rsidRPr="00927FD6" w:rsidRDefault="00927FD6" w:rsidP="00927FD6">
      <w:pPr>
        <w:jc w:val="both"/>
        <w:rPr>
          <w:rStyle w:val="Emphasis"/>
          <w:rFonts w:cs="Arial"/>
          <w:i w:val="0"/>
          <w:color w:val="000000" w:themeColor="text1"/>
          <w:sz w:val="20"/>
          <w:szCs w:val="20"/>
        </w:rPr>
      </w:pPr>
      <w:r w:rsidRPr="00927FD6">
        <w:rPr>
          <w:rStyle w:val="Emphasis"/>
          <w:i w:val="0"/>
          <w:color w:val="000000" w:themeColor="text1"/>
          <w:szCs w:val="20"/>
        </w:rPr>
        <w:t>Bilgilerinize sunulur.</w:t>
      </w:r>
    </w:p>
    <w:p w:rsidR="00927FD6" w:rsidRPr="00927FD6" w:rsidRDefault="00927FD6" w:rsidP="00927FD6">
      <w:pPr>
        <w:jc w:val="both"/>
        <w:rPr>
          <w:rFonts w:ascii="Calibri" w:hAnsi="Calibri" w:cs="Calibri"/>
          <w:color w:val="000000" w:themeColor="text1"/>
          <w:szCs w:val="22"/>
        </w:rPr>
      </w:pPr>
    </w:p>
    <w:p w:rsidR="00927FD6" w:rsidRPr="00927FD6" w:rsidRDefault="00927FD6" w:rsidP="00927FD6">
      <w:pPr>
        <w:jc w:val="both"/>
        <w:rPr>
          <w:rStyle w:val="Emphasis"/>
          <w:rFonts w:cs="Arial"/>
          <w:i w:val="0"/>
          <w:color w:val="000000" w:themeColor="text1"/>
          <w:sz w:val="20"/>
          <w:szCs w:val="20"/>
        </w:rPr>
      </w:pPr>
      <w:r w:rsidRPr="00927FD6">
        <w:rPr>
          <w:rStyle w:val="Emphasis"/>
          <w:i w:val="0"/>
          <w:color w:val="000000" w:themeColor="text1"/>
          <w:szCs w:val="20"/>
        </w:rPr>
        <w:t>Saygılarımızla,</w:t>
      </w:r>
    </w:p>
    <w:p w:rsidR="00927FD6" w:rsidRPr="00927FD6" w:rsidRDefault="00927FD6" w:rsidP="00927FD6">
      <w:pPr>
        <w:jc w:val="both"/>
        <w:rPr>
          <w:rFonts w:ascii="Calibri" w:hAnsi="Calibri" w:cs="Calibri"/>
          <w:color w:val="000000" w:themeColor="text1"/>
          <w:szCs w:val="22"/>
        </w:rPr>
      </w:pPr>
    </w:p>
    <w:p w:rsidR="00927FD6" w:rsidRPr="00927FD6" w:rsidRDefault="00927FD6" w:rsidP="00927FD6">
      <w:pPr>
        <w:jc w:val="both"/>
        <w:rPr>
          <w:rStyle w:val="Emphasis"/>
          <w:rFonts w:cs="Arial"/>
          <w:i w:val="0"/>
          <w:color w:val="000000" w:themeColor="text1"/>
          <w:sz w:val="20"/>
          <w:szCs w:val="20"/>
        </w:rPr>
      </w:pPr>
      <w:r w:rsidRPr="00927FD6">
        <w:rPr>
          <w:rStyle w:val="Emphasis"/>
          <w:i w:val="0"/>
          <w:color w:val="000000" w:themeColor="text1"/>
          <w:szCs w:val="20"/>
        </w:rPr>
        <w:t>Türkiye Bankalar Birliği</w:t>
      </w:r>
    </w:p>
    <w:p w:rsidR="00A67969" w:rsidRPr="00927FD6" w:rsidRDefault="00A67969" w:rsidP="00FC1CFC">
      <w:pPr>
        <w:jc w:val="both"/>
        <w:rPr>
          <w:color w:val="000000" w:themeColor="text1"/>
          <w:szCs w:val="22"/>
        </w:rPr>
      </w:pPr>
    </w:p>
    <w:sectPr w:rsidR="00A67969" w:rsidRPr="00927FD6" w:rsidSect="000E178D">
      <w:headerReference w:type="default" r:id="rId7"/>
      <w:footerReference w:type="default" r:id="rId8"/>
      <w:headerReference w:type="first" r:id="rId9"/>
      <w:footerReference w:type="first" r:id="rId10"/>
      <w:pgSz w:w="11909" w:h="16834" w:code="9"/>
      <w:pgMar w:top="2381" w:right="2268" w:bottom="1440" w:left="1814" w:header="115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956" w:rsidRDefault="00C86956" w:rsidP="00FC1CFC">
      <w:r>
        <w:separator/>
      </w:r>
    </w:p>
  </w:endnote>
  <w:endnote w:type="continuationSeparator" w:id="0">
    <w:p w:rsidR="00C86956" w:rsidRDefault="00C86956" w:rsidP="00FC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78D" w:rsidRPr="000E178D" w:rsidRDefault="004C268B" w:rsidP="000E178D">
    <w:pPr>
      <w:pStyle w:val="Footer"/>
      <w:tabs>
        <w:tab w:val="clear" w:pos="4536"/>
        <w:tab w:val="clear" w:pos="9072"/>
        <w:tab w:val="right" w:pos="7654"/>
      </w:tabs>
      <w:rPr>
        <w:sz w:val="18"/>
      </w:rPr>
    </w:pPr>
    <w:r>
      <w:rPr>
        <w:sz w:val="18"/>
      </w:rPr>
      <w:t>... tarihli yazımız.</w:t>
    </w:r>
    <w:r>
      <w:rPr>
        <w:sz w:val="18"/>
      </w:rPr>
      <w:tab/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927FD6">
      <w:rPr>
        <w:noProof/>
        <w:sz w:val="18"/>
      </w:rPr>
      <w:t>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78D" w:rsidRDefault="004C268B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956" w:rsidRDefault="00C86956" w:rsidP="00FC1CFC">
      <w:r>
        <w:separator/>
      </w:r>
    </w:p>
  </w:footnote>
  <w:footnote w:type="continuationSeparator" w:id="0">
    <w:p w:rsidR="00C86956" w:rsidRDefault="00C86956" w:rsidP="00FC1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78D" w:rsidRDefault="00FC1CFC">
    <w:pPr>
      <w:pStyle w:val="Header"/>
    </w:pPr>
    <w:r>
      <w:rPr>
        <w:noProof/>
        <w:lang w:eastAsia="tr-TR"/>
      </w:rPr>
      <w:drawing>
        <wp:anchor distT="0" distB="0" distL="114300" distR="114300" simplePos="0" relativeHeight="251660288" behindDoc="0" locked="0" layoutInCell="1" allowOverlap="1" wp14:anchorId="5F8B1422" wp14:editId="75905668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2" name="Picture 2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78D" w:rsidRDefault="002D5C1C">
    <w:pPr>
      <w:pStyle w:val="Header"/>
    </w:pP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3D4FCFDD" wp14:editId="39E62355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842400" cy="928800"/>
          <wp:effectExtent l="0" t="0" r="0" b="508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268B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C2A"/>
    <w:rsid w:val="00026470"/>
    <w:rsid w:val="00032D3D"/>
    <w:rsid w:val="00041F6E"/>
    <w:rsid w:val="00091FF5"/>
    <w:rsid w:val="000E76E8"/>
    <w:rsid w:val="0016118B"/>
    <w:rsid w:val="00194709"/>
    <w:rsid w:val="001D152F"/>
    <w:rsid w:val="001D4C04"/>
    <w:rsid w:val="001E1F68"/>
    <w:rsid w:val="001E2DE9"/>
    <w:rsid w:val="0025740B"/>
    <w:rsid w:val="00273253"/>
    <w:rsid w:val="002D5C1C"/>
    <w:rsid w:val="002E5C6F"/>
    <w:rsid w:val="002E6114"/>
    <w:rsid w:val="0030136D"/>
    <w:rsid w:val="00326E73"/>
    <w:rsid w:val="00367140"/>
    <w:rsid w:val="003A7B0F"/>
    <w:rsid w:val="003B5E34"/>
    <w:rsid w:val="003E076B"/>
    <w:rsid w:val="00442CD3"/>
    <w:rsid w:val="00477502"/>
    <w:rsid w:val="004C268B"/>
    <w:rsid w:val="004D05CD"/>
    <w:rsid w:val="004E1F79"/>
    <w:rsid w:val="004F6805"/>
    <w:rsid w:val="0053134D"/>
    <w:rsid w:val="005574AD"/>
    <w:rsid w:val="005B359D"/>
    <w:rsid w:val="005E1D51"/>
    <w:rsid w:val="005F3FBD"/>
    <w:rsid w:val="00623204"/>
    <w:rsid w:val="00624ACF"/>
    <w:rsid w:val="00683217"/>
    <w:rsid w:val="006F74A2"/>
    <w:rsid w:val="0070238F"/>
    <w:rsid w:val="00844660"/>
    <w:rsid w:val="008830E8"/>
    <w:rsid w:val="00900F5B"/>
    <w:rsid w:val="00925A26"/>
    <w:rsid w:val="00927FD6"/>
    <w:rsid w:val="00967DC9"/>
    <w:rsid w:val="009B40C7"/>
    <w:rsid w:val="00A37DF2"/>
    <w:rsid w:val="00A62BA8"/>
    <w:rsid w:val="00A67969"/>
    <w:rsid w:val="00AA3C2A"/>
    <w:rsid w:val="00AA40D7"/>
    <w:rsid w:val="00AE7AC8"/>
    <w:rsid w:val="00B3484C"/>
    <w:rsid w:val="00B949DF"/>
    <w:rsid w:val="00BF729D"/>
    <w:rsid w:val="00C3621B"/>
    <w:rsid w:val="00C86956"/>
    <w:rsid w:val="00CA7DE2"/>
    <w:rsid w:val="00CE1DEE"/>
    <w:rsid w:val="00D437D5"/>
    <w:rsid w:val="00D560F6"/>
    <w:rsid w:val="00DB0A01"/>
    <w:rsid w:val="00DC1B52"/>
    <w:rsid w:val="00DE0024"/>
    <w:rsid w:val="00DF6DFE"/>
    <w:rsid w:val="00E15E81"/>
    <w:rsid w:val="00F32E8D"/>
    <w:rsid w:val="00FC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1CFC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sid w:val="00D437D5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sid w:val="00D437D5"/>
    <w:rPr>
      <w:rFonts w:ascii="Arial" w:hAnsi="Arial" w:cs="Arial"/>
      <w:color w:val="auto"/>
      <w:sz w:val="20"/>
    </w:rPr>
  </w:style>
  <w:style w:type="paragraph" w:styleId="Header">
    <w:name w:val="header"/>
    <w:basedOn w:val="Normal"/>
    <w:link w:val="HeaderChar"/>
    <w:rsid w:val="00FC1C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C1CFC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FC1C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C1CFC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FC1CFC"/>
    <w:pPr>
      <w:ind w:left="708"/>
    </w:pPr>
    <w:rPr>
      <w:rFonts w:ascii="Courier New" w:hAnsi="Courier New" w:cs="Courier New"/>
      <w:color w:val="000000"/>
      <w:sz w:val="24"/>
      <w:lang w:eastAsia="tr-TR"/>
    </w:rPr>
  </w:style>
  <w:style w:type="paragraph" w:styleId="BalloonText">
    <w:name w:val="Balloon Text"/>
    <w:basedOn w:val="Normal"/>
    <w:link w:val="BalloonTextChar"/>
    <w:rsid w:val="002D5C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5C1C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basedOn w:val="DefaultParagraphFont"/>
    <w:uiPriority w:val="20"/>
    <w:qFormat/>
    <w:rsid w:val="00927FD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1CFC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sid w:val="00D437D5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sid w:val="00D437D5"/>
    <w:rPr>
      <w:rFonts w:ascii="Arial" w:hAnsi="Arial" w:cs="Arial"/>
      <w:color w:val="auto"/>
      <w:sz w:val="20"/>
    </w:rPr>
  </w:style>
  <w:style w:type="paragraph" w:styleId="Header">
    <w:name w:val="header"/>
    <w:basedOn w:val="Normal"/>
    <w:link w:val="HeaderChar"/>
    <w:rsid w:val="00FC1C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C1CFC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FC1C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C1CFC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FC1CFC"/>
    <w:pPr>
      <w:ind w:left="708"/>
    </w:pPr>
    <w:rPr>
      <w:rFonts w:ascii="Courier New" w:hAnsi="Courier New" w:cs="Courier New"/>
      <w:color w:val="000000"/>
      <w:sz w:val="24"/>
      <w:lang w:eastAsia="tr-TR"/>
    </w:rPr>
  </w:style>
  <w:style w:type="paragraph" w:styleId="BalloonText">
    <w:name w:val="Balloon Text"/>
    <w:basedOn w:val="Normal"/>
    <w:link w:val="BalloonTextChar"/>
    <w:rsid w:val="002D5C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5C1C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basedOn w:val="DefaultParagraphFont"/>
    <w:uiPriority w:val="20"/>
    <w:qFormat/>
    <w:rsid w:val="00927F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TBB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atamanp</dc:creator>
  <cp:lastModifiedBy>Maya Kavaklioglu</cp:lastModifiedBy>
  <cp:revision>3</cp:revision>
  <cp:lastPrinted>2011-04-20T11:31:00Z</cp:lastPrinted>
  <dcterms:created xsi:type="dcterms:W3CDTF">2011-07-08T11:01:00Z</dcterms:created>
  <dcterms:modified xsi:type="dcterms:W3CDTF">2011-07-08T11:51:00Z</dcterms:modified>
</cp:coreProperties>
</file>